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761" w:rsidRDefault="00F62761" w:rsidP="00F62761">
      <w:pPr>
        <w:rPr>
          <w:rFonts w:ascii="华文中宋" w:eastAsia="华文中宋" w:hAnsi="华文中宋" w:cs="华文中宋" w:hint="eastAsia"/>
          <w:sz w:val="40"/>
          <w:szCs w:val="40"/>
        </w:rPr>
      </w:pPr>
    </w:p>
    <w:p w:rsidR="00660ECF" w:rsidRDefault="00660ECF" w:rsidP="003A1BD4">
      <w:pPr>
        <w:jc w:val="center"/>
        <w:rPr>
          <w:rFonts w:ascii="华文中宋" w:eastAsia="华文中宋" w:hAnsi="华文中宋" w:cs="华文中宋" w:hint="eastAsia"/>
          <w:sz w:val="40"/>
          <w:szCs w:val="40"/>
        </w:rPr>
      </w:pPr>
      <w:r>
        <w:rPr>
          <w:rFonts w:ascii="华文中宋" w:eastAsia="华文中宋" w:hAnsi="华文中宋" w:cs="华文中宋" w:hint="eastAsia"/>
          <w:sz w:val="40"/>
          <w:szCs w:val="40"/>
        </w:rPr>
        <w:t>漯河市发展和改革委员会2019年度部门预算公开说明</w:t>
      </w:r>
    </w:p>
    <w:p w:rsidR="00660ECF" w:rsidRDefault="00660ECF">
      <w:pPr>
        <w:spacing w:line="580" w:lineRule="atLeast"/>
        <w:jc w:val="center"/>
        <w:rPr>
          <w:rFonts w:ascii="华文中宋" w:eastAsia="华文中宋" w:hAnsi="华文中宋" w:cs="华文中宋" w:hint="eastAsia"/>
          <w:sz w:val="40"/>
          <w:szCs w:val="40"/>
        </w:rPr>
      </w:pPr>
    </w:p>
    <w:p w:rsidR="00660ECF" w:rsidRDefault="00660ECF">
      <w:pPr>
        <w:spacing w:line="580" w:lineRule="atLeast"/>
        <w:jc w:val="center"/>
        <w:rPr>
          <w:rFonts w:ascii="仿宋_GB2312" w:eastAsia="仿宋_GB2312" w:hAnsi="宋体" w:hint="eastAsia"/>
          <w:b/>
          <w:sz w:val="32"/>
          <w:szCs w:val="32"/>
        </w:rPr>
      </w:pPr>
      <w:r>
        <w:rPr>
          <w:rFonts w:ascii="仿宋_GB2312" w:eastAsia="仿宋_GB2312" w:hAnsi="宋体" w:hint="eastAsia"/>
          <w:b/>
          <w:sz w:val="32"/>
          <w:szCs w:val="32"/>
        </w:rPr>
        <w:t>目   录</w:t>
      </w:r>
    </w:p>
    <w:p w:rsidR="00660ECF" w:rsidRDefault="00660ECF">
      <w:pPr>
        <w:spacing w:line="580" w:lineRule="atLeast"/>
        <w:ind w:firstLineChars="200" w:firstLine="640"/>
        <w:rPr>
          <w:rFonts w:ascii="黑体" w:eastAsia="黑体" w:hAnsi="黑体" w:cs="黑体" w:hint="eastAsia"/>
          <w:sz w:val="32"/>
          <w:szCs w:val="32"/>
        </w:rPr>
      </w:pPr>
      <w:r>
        <w:rPr>
          <w:rFonts w:ascii="黑体" w:eastAsia="仿宋" w:hAnsi="黑体" w:cs="宋体" w:hint="eastAsia"/>
          <w:color w:val="666666"/>
          <w:kern w:val="0"/>
          <w:sz w:val="32"/>
          <w:szCs w:val="32"/>
        </w:rPr>
        <w:t xml:space="preserve"> </w:t>
      </w:r>
      <w:r>
        <w:rPr>
          <w:rFonts w:ascii="黑体" w:eastAsia="仿宋" w:hAnsi="黑体" w:cs="宋体" w:hint="eastAsia"/>
          <w:kern w:val="0"/>
          <w:sz w:val="32"/>
          <w:szCs w:val="32"/>
        </w:rPr>
        <w:t xml:space="preserve"> </w:t>
      </w:r>
      <w:r>
        <w:rPr>
          <w:rFonts w:ascii="黑体" w:eastAsia="黑体" w:hAnsi="黑体" w:cs="黑体" w:hint="eastAsia"/>
          <w:kern w:val="0"/>
          <w:sz w:val="32"/>
          <w:szCs w:val="32"/>
        </w:rPr>
        <w:t xml:space="preserve">第一部分  </w:t>
      </w:r>
      <w:r>
        <w:rPr>
          <w:rFonts w:ascii="黑体" w:eastAsia="黑体" w:hAnsi="黑体" w:cs="黑体" w:hint="eastAsia"/>
          <w:sz w:val="32"/>
          <w:szCs w:val="40"/>
        </w:rPr>
        <w:t>漯河市发展和改革委员会</w:t>
      </w:r>
      <w:r>
        <w:rPr>
          <w:rFonts w:ascii="黑体" w:eastAsia="黑体" w:hAnsi="黑体" w:cs="黑体" w:hint="eastAsia"/>
          <w:sz w:val="32"/>
          <w:szCs w:val="32"/>
        </w:rPr>
        <w:t>概况</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（一）主要职能</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（二）部门预算单位构成</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 xml:space="preserve"> (</w:t>
      </w:r>
      <w:r>
        <w:rPr>
          <w:rFonts w:ascii="仿宋_GB2312" w:eastAsia="仿宋" w:hAnsi="仿宋_GB2312" w:hint="eastAsia"/>
          <w:sz w:val="32"/>
          <w:szCs w:val="32"/>
        </w:rPr>
        <w:t>三</w:t>
      </w:r>
      <w:r>
        <w:rPr>
          <w:rFonts w:ascii="仿宋_GB2312" w:eastAsia="仿宋" w:hAnsi="仿宋_GB2312" w:hint="eastAsia"/>
          <w:sz w:val="32"/>
          <w:szCs w:val="32"/>
        </w:rPr>
        <w:t xml:space="preserve">) </w:t>
      </w:r>
      <w:r>
        <w:rPr>
          <w:rFonts w:ascii="仿宋_GB2312" w:eastAsia="仿宋" w:hAnsi="仿宋_GB2312" w:hint="eastAsia"/>
          <w:sz w:val="32"/>
          <w:szCs w:val="32"/>
        </w:rPr>
        <w:t>人员构成情况</w:t>
      </w:r>
    </w:p>
    <w:p w:rsidR="00660ECF" w:rsidRDefault="00660ECF">
      <w:pPr>
        <w:widowControl/>
        <w:kinsoku w:val="0"/>
        <w:overflowPunct w:val="0"/>
        <w:adjustRightInd w:val="0"/>
        <w:snapToGrid w:val="0"/>
        <w:spacing w:line="592" w:lineRule="exact"/>
        <w:ind w:firstLineChars="300" w:firstLine="960"/>
        <w:jc w:val="left"/>
        <w:rPr>
          <w:rFonts w:ascii="黑体" w:eastAsia="黑体" w:hAnsi="黑体" w:cs="黑体" w:hint="eastAsia"/>
          <w:sz w:val="32"/>
          <w:szCs w:val="32"/>
        </w:rPr>
      </w:pPr>
      <w:r>
        <w:rPr>
          <w:rFonts w:ascii="黑体" w:eastAsia="黑体" w:hAnsi="黑体" w:cs="黑体" w:hint="eastAsia"/>
          <w:kern w:val="0"/>
          <w:sz w:val="32"/>
          <w:szCs w:val="32"/>
        </w:rPr>
        <w:t>第二部分</w:t>
      </w:r>
      <w:r>
        <w:rPr>
          <w:rFonts w:ascii="黑体" w:eastAsia="黑体" w:hAnsi="黑体" w:cs="黑体" w:hint="eastAsia"/>
          <w:sz w:val="32"/>
          <w:szCs w:val="32"/>
        </w:rPr>
        <w:t xml:space="preserve"> </w:t>
      </w:r>
      <w:r>
        <w:rPr>
          <w:rFonts w:ascii="黑体" w:eastAsia="黑体" w:hAnsi="黑体" w:cs="黑体" w:hint="eastAsia"/>
          <w:kern w:val="0"/>
          <w:sz w:val="32"/>
          <w:szCs w:val="32"/>
        </w:rPr>
        <w:t>2019年度部门预算情况说明</w:t>
      </w:r>
    </w:p>
    <w:p w:rsidR="00660ECF" w:rsidRDefault="00660ECF">
      <w:pPr>
        <w:widowControl/>
        <w:kinsoku w:val="0"/>
        <w:overflowPunct w:val="0"/>
        <w:adjustRightInd w:val="0"/>
        <w:snapToGrid w:val="0"/>
        <w:spacing w:line="592" w:lineRule="exact"/>
        <w:ind w:firstLineChars="300" w:firstLine="960"/>
        <w:jc w:val="left"/>
        <w:rPr>
          <w:rFonts w:ascii="黑体" w:eastAsia="黑体" w:hAnsi="黑体" w:cs="黑体" w:hint="eastAsia"/>
          <w:sz w:val="32"/>
          <w:szCs w:val="32"/>
        </w:rPr>
      </w:pPr>
      <w:r>
        <w:rPr>
          <w:rFonts w:ascii="黑体" w:eastAsia="黑体" w:hAnsi="黑体" w:cs="黑体" w:hint="eastAsia"/>
          <w:kern w:val="0"/>
          <w:sz w:val="32"/>
          <w:szCs w:val="32"/>
        </w:rPr>
        <w:t>第三部分</w:t>
      </w:r>
      <w:r>
        <w:rPr>
          <w:rFonts w:ascii="黑体" w:eastAsia="黑体" w:hAnsi="黑体" w:cs="黑体" w:hint="eastAsia"/>
          <w:sz w:val="32"/>
          <w:szCs w:val="32"/>
        </w:rPr>
        <w:t xml:space="preserve">   名词解释</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p>
    <w:p w:rsidR="00660ECF" w:rsidRDefault="00660ECF">
      <w:pPr>
        <w:widowControl/>
        <w:kinsoku w:val="0"/>
        <w:overflowPunct w:val="0"/>
        <w:adjustRightInd w:val="0"/>
        <w:snapToGrid w:val="0"/>
        <w:spacing w:line="592" w:lineRule="exact"/>
        <w:ind w:firstLineChars="200" w:firstLine="640"/>
        <w:jc w:val="left"/>
        <w:rPr>
          <w:rFonts w:ascii="仿宋_GB2312" w:eastAsia="仿宋" w:hAnsi="仿宋_GB2312" w:hint="eastAsia"/>
          <w:sz w:val="32"/>
          <w:szCs w:val="32"/>
        </w:rPr>
      </w:pPr>
      <w:r>
        <w:rPr>
          <w:rFonts w:ascii="仿宋_GB2312" w:eastAsia="仿宋" w:hAnsi="仿宋_GB2312" w:hint="eastAsia"/>
          <w:sz w:val="32"/>
          <w:szCs w:val="32"/>
        </w:rPr>
        <w:t>附件：</w:t>
      </w:r>
      <w:r>
        <w:rPr>
          <w:rFonts w:ascii="华文中宋" w:eastAsia="仿宋" w:hAnsi="华文中宋" w:cs="华文中宋" w:hint="eastAsia"/>
          <w:sz w:val="32"/>
          <w:szCs w:val="40"/>
        </w:rPr>
        <w:t>漯河市发展和改革委员会</w:t>
      </w:r>
      <w:r>
        <w:rPr>
          <w:rFonts w:ascii="仿宋_GB2312" w:eastAsia="仿宋" w:hAnsi="仿宋_GB2312" w:hint="eastAsia"/>
          <w:sz w:val="32"/>
          <w:szCs w:val="32"/>
        </w:rPr>
        <w:t>2019</w:t>
      </w:r>
      <w:r>
        <w:rPr>
          <w:rFonts w:ascii="仿宋_GB2312" w:eastAsia="仿宋" w:hAnsi="仿宋_GB2312" w:hint="eastAsia"/>
          <w:sz w:val="32"/>
          <w:szCs w:val="32"/>
        </w:rPr>
        <w:t>年度部门预算表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1</w:t>
      </w:r>
      <w:r>
        <w:rPr>
          <w:rFonts w:ascii="仿宋_GB2312" w:eastAsia="仿宋" w:hAnsi="仿宋_GB2312" w:hint="eastAsia"/>
          <w:sz w:val="32"/>
          <w:szCs w:val="32"/>
        </w:rPr>
        <w:t>、部门收支总体情况表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2</w:t>
      </w:r>
      <w:r>
        <w:rPr>
          <w:rFonts w:ascii="仿宋_GB2312" w:eastAsia="仿宋" w:hAnsi="仿宋_GB2312" w:hint="eastAsia"/>
          <w:sz w:val="32"/>
          <w:szCs w:val="32"/>
        </w:rPr>
        <w:t>、部门收入总体情况表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3</w:t>
      </w:r>
      <w:r>
        <w:rPr>
          <w:rFonts w:ascii="仿宋_GB2312" w:eastAsia="仿宋" w:hAnsi="仿宋_GB2312" w:hint="eastAsia"/>
          <w:sz w:val="32"/>
          <w:szCs w:val="32"/>
        </w:rPr>
        <w:t>、部门支出总体情况表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4</w:t>
      </w:r>
      <w:r>
        <w:rPr>
          <w:rFonts w:ascii="仿宋_GB2312" w:eastAsia="仿宋" w:hAnsi="仿宋_GB2312" w:hint="eastAsia"/>
          <w:sz w:val="32"/>
          <w:szCs w:val="32"/>
        </w:rPr>
        <w:t>、财政拨款收支总体情况表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5</w:t>
      </w:r>
      <w:r>
        <w:rPr>
          <w:rFonts w:ascii="仿宋_GB2312" w:eastAsia="仿宋" w:hAnsi="仿宋_GB2312" w:hint="eastAsia"/>
          <w:sz w:val="32"/>
          <w:szCs w:val="32"/>
        </w:rPr>
        <w:t>、一般公共预算支出情况表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6</w:t>
      </w:r>
      <w:r>
        <w:rPr>
          <w:rFonts w:ascii="仿宋_GB2312" w:eastAsia="仿宋" w:hAnsi="仿宋_GB2312" w:hint="eastAsia"/>
          <w:sz w:val="32"/>
          <w:szCs w:val="32"/>
        </w:rPr>
        <w:t>、支出经济分类汇总表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7</w:t>
      </w:r>
      <w:r>
        <w:rPr>
          <w:rFonts w:ascii="仿宋_GB2312" w:eastAsia="仿宋" w:hAnsi="仿宋_GB2312" w:hint="eastAsia"/>
          <w:sz w:val="32"/>
          <w:szCs w:val="32"/>
        </w:rPr>
        <w:t>、一般公共预算“三公”经费支出情况表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 w:hAnsi="仿宋_GB2312" w:hint="eastAsia"/>
          <w:sz w:val="32"/>
          <w:szCs w:val="32"/>
        </w:rPr>
      </w:pPr>
      <w:r>
        <w:rPr>
          <w:rFonts w:ascii="仿宋_GB2312" w:eastAsia="仿宋" w:hAnsi="仿宋_GB2312" w:hint="eastAsia"/>
          <w:sz w:val="32"/>
          <w:szCs w:val="32"/>
        </w:rPr>
        <w:t>8</w:t>
      </w:r>
      <w:r>
        <w:rPr>
          <w:rFonts w:ascii="仿宋_GB2312" w:eastAsia="仿宋" w:hAnsi="仿宋_GB2312" w:hint="eastAsia"/>
          <w:sz w:val="32"/>
          <w:szCs w:val="32"/>
        </w:rPr>
        <w:t>、政府性基金预算支出情况表</w:t>
      </w:r>
    </w:p>
    <w:p w:rsidR="00660ECF" w:rsidRDefault="00660ECF">
      <w:pPr>
        <w:spacing w:line="580" w:lineRule="atLeast"/>
        <w:ind w:firstLineChars="200" w:firstLine="640"/>
        <w:rPr>
          <w:rFonts w:ascii="仿宋_GB2312" w:eastAsia="仿宋" w:hAnsi="仿宋_GB2312" w:hint="eastAsia"/>
          <w:sz w:val="32"/>
          <w:szCs w:val="32"/>
        </w:rPr>
      </w:pPr>
    </w:p>
    <w:p w:rsidR="00660ECF" w:rsidRDefault="00660ECF">
      <w:pPr>
        <w:spacing w:line="580" w:lineRule="atLeast"/>
        <w:rPr>
          <w:rFonts w:ascii="黑体" w:eastAsia="黑体" w:hAnsi="黑体" w:cs="宋体" w:hint="eastAsia"/>
          <w:color w:val="666666"/>
          <w:kern w:val="0"/>
          <w:sz w:val="32"/>
          <w:szCs w:val="32"/>
        </w:rPr>
      </w:pPr>
    </w:p>
    <w:p w:rsidR="00660ECF" w:rsidRDefault="00660ECF">
      <w:pPr>
        <w:pStyle w:val="3"/>
        <w:jc w:val="center"/>
        <w:rPr>
          <w:rFonts w:ascii="仿宋_GB2312" w:eastAsia="仿宋_GB2312" w:hAnsi="楷体_GB2312" w:hint="eastAsia"/>
          <w:b w:val="0"/>
          <w:bCs/>
          <w:szCs w:val="32"/>
        </w:rPr>
      </w:pPr>
      <w:r>
        <w:rPr>
          <w:rFonts w:ascii="黑体" w:eastAsia="黑体" w:hAnsi="黑体" w:cs="黑体" w:hint="eastAsia"/>
          <w:b w:val="0"/>
          <w:bCs/>
        </w:rPr>
        <w:lastRenderedPageBreak/>
        <w:t>第一部分  漯河市发展和改革委员会概况</w:t>
      </w:r>
    </w:p>
    <w:p w:rsidR="00660ECF" w:rsidRPr="004750F5" w:rsidRDefault="00660ECF" w:rsidP="007D588A">
      <w:pPr>
        <w:spacing w:line="580" w:lineRule="atLeast"/>
        <w:ind w:firstLineChars="200" w:firstLine="640"/>
        <w:rPr>
          <w:rFonts w:ascii="仿宋_GB2312" w:eastAsia="仿宋_GB2312" w:hint="eastAsia"/>
          <w:b/>
          <w:sz w:val="32"/>
          <w:szCs w:val="32"/>
        </w:rPr>
      </w:pPr>
      <w:r w:rsidRPr="004750F5">
        <w:rPr>
          <w:rFonts w:ascii="仿宋_GB2312" w:eastAsia="仿宋_GB2312" w:hAnsi="楷体_GB2312" w:hint="eastAsia"/>
          <w:b/>
          <w:sz w:val="32"/>
          <w:szCs w:val="32"/>
        </w:rPr>
        <w:t>一、</w:t>
      </w:r>
      <w:r w:rsidRPr="004750F5">
        <w:rPr>
          <w:rFonts w:ascii="华文中宋" w:eastAsia="仿宋" w:hAnsi="华文中宋" w:cs="华文中宋" w:hint="eastAsia"/>
          <w:b/>
          <w:sz w:val="32"/>
          <w:szCs w:val="40"/>
        </w:rPr>
        <w:t>漯河市发展和改革委员会</w:t>
      </w:r>
      <w:r w:rsidRPr="004750F5">
        <w:rPr>
          <w:rFonts w:ascii="仿宋_GB2312" w:eastAsia="仿宋_GB2312" w:hAnsi="楷体_GB2312" w:hint="eastAsia"/>
          <w:b/>
          <w:sz w:val="32"/>
          <w:szCs w:val="32"/>
        </w:rPr>
        <w:t>主要职责</w:t>
      </w:r>
    </w:p>
    <w:p w:rsidR="00660ECF" w:rsidRDefault="00660ECF">
      <w:pPr>
        <w:spacing w:line="620" w:lineRule="exact"/>
        <w:ind w:firstLineChars="200" w:firstLine="640"/>
        <w:rPr>
          <w:rFonts w:eastAsia="仿宋_GB2312"/>
          <w:sz w:val="32"/>
          <w:szCs w:val="32"/>
        </w:rPr>
      </w:pPr>
      <w:r>
        <w:rPr>
          <w:rFonts w:ascii="仿宋_GB2312" w:eastAsia="仿宋_GB2312" w:hAnsi="仿宋_GB2312" w:hint="eastAsia"/>
          <w:sz w:val="32"/>
          <w:szCs w:val="32"/>
        </w:rPr>
        <w:t>漯河市发展和改革委员会委机关共有办公室、政策法规科、人事科、规划改革科、国民经济综合科、经济运行调节办公室、固定资产投资科、农村经济科、城镇发展科、工业发展科、基础产业科、高技术产业科、资源节约和环境保护科、社会发展科、财政金融贸易科、价格调控管理科、收费管理科、服务业发展局、漯河市人民政府大项目办公室、漯河市人民政府口岸办公室等</w:t>
      </w:r>
      <w:r>
        <w:rPr>
          <w:rFonts w:ascii="仿宋_GB2312" w:eastAsia="仿宋_GB2312" w:hint="eastAsia"/>
          <w:sz w:val="32"/>
          <w:szCs w:val="32"/>
        </w:rPr>
        <w:t>20</w:t>
      </w:r>
      <w:r>
        <w:rPr>
          <w:rFonts w:ascii="仿宋_GB2312" w:eastAsia="仿宋_GB2312" w:hAnsi="仿宋_GB2312" w:hint="eastAsia"/>
          <w:sz w:val="32"/>
          <w:szCs w:val="32"/>
        </w:rPr>
        <w:t xml:space="preserve">个内设机构，负责管理漯河市价格成本调查队、漯河市价格认证中心、漯河市节能监察中心、漯河市服务业促进中心、河南进口肉类指定口岸漯河查验区管理中心、漯河信用中心6个归口预算管理单位。      </w:t>
      </w:r>
    </w:p>
    <w:p w:rsidR="00660ECF" w:rsidRDefault="00660ECF">
      <w:pPr>
        <w:spacing w:line="620" w:lineRule="exact"/>
        <w:ind w:firstLine="630"/>
        <w:rPr>
          <w:rFonts w:ascii="仿宋_GB2312" w:eastAsia="仿宋_GB2312" w:hAnsi="仿宋_GB2312" w:hint="eastAsia"/>
          <w:sz w:val="32"/>
          <w:szCs w:val="32"/>
        </w:rPr>
      </w:pPr>
      <w:r>
        <w:rPr>
          <w:rFonts w:ascii="仿宋_GB2312" w:eastAsia="仿宋_GB2312" w:hAnsi="仿宋_GB2312" w:hint="eastAsia"/>
          <w:sz w:val="32"/>
          <w:szCs w:val="32"/>
        </w:rPr>
        <w:t xml:space="preserve"> 委主要职责有：</w:t>
      </w:r>
      <w:r>
        <w:rPr>
          <w:rFonts w:eastAsia="仿宋_GB2312"/>
          <w:sz w:val="32"/>
          <w:szCs w:val="32"/>
        </w:rPr>
        <w:t>拟定并组织实施全市国民经济和社会发展战略、中长期规划和年度计划，负责监测宏观经济和社会发展态势，参与分析研究全市财政、金融运行情况，承担指导推进和综合协调经济体制改革的责任，承担规划重大建设项目和生产力布局的责任，推进经济结构战略性调整，组织编制全市主体功能区规划并协调实施，承担重要商品总量平衡和宏观调控的责任，负责社会发展与国民经济发展的政策衔接，负责节能减排的综合协调工作，承担全市重点项目建设管理和重大建设项目稽察的责任；负责管理和协调全市口岸工作。起草全市国民经济和社会发展、经济体制改革和</w:t>
      </w:r>
      <w:r>
        <w:rPr>
          <w:rFonts w:eastAsia="仿宋_GB2312"/>
          <w:sz w:val="32"/>
          <w:szCs w:val="32"/>
        </w:rPr>
        <w:lastRenderedPageBreak/>
        <w:t>对外开放的规范性文件，组织编制全市国民经济动员规划、计划，研究国民经济动员与国民经济、国防建设的关系，协调相关重大问题，组织开展国民经济动员有关工作。对我市刑事案件和行政执法案件涉案财物价格鉴定、税收征管中应税财物价格认定、纪检监察案件涉案财物价格认定。负责全市主要农产品生产成本及生产资料价格的调查和成本监审工作。负责全市范围内节能情况监察执法。负责进口肉类产品检验检疫和监督管理工作。促进服务业产业结构调整、优化升级和行业均衡发展，统筹推进生产性服务业发展。</w:t>
      </w:r>
    </w:p>
    <w:p w:rsidR="00660ECF" w:rsidRDefault="00660ECF">
      <w:pPr>
        <w:widowControl/>
        <w:spacing w:line="580" w:lineRule="atLeast"/>
        <w:jc w:val="left"/>
        <w:rPr>
          <w:rFonts w:ascii="仿宋_GB2312" w:eastAsia="仿宋_GB2312" w:hAnsi="楷体_GB2312" w:hint="eastAsia"/>
          <w:b/>
          <w:bCs/>
          <w:sz w:val="32"/>
          <w:szCs w:val="32"/>
        </w:rPr>
      </w:pPr>
      <w:r>
        <w:rPr>
          <w:rFonts w:ascii="仿宋_GB2312" w:eastAsia="仿宋_GB2312" w:hAnsi="楷体_GB2312" w:hint="eastAsia"/>
          <w:b/>
          <w:bCs/>
          <w:sz w:val="32"/>
          <w:szCs w:val="32"/>
        </w:rPr>
        <w:t xml:space="preserve">     二、预算单位构成</w:t>
      </w:r>
    </w:p>
    <w:p w:rsidR="00660ECF" w:rsidRDefault="00660ECF">
      <w:pPr>
        <w:widowControl/>
        <w:spacing w:line="580" w:lineRule="atLeas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漯河市发展和改革委员会</w:t>
      </w:r>
      <w:r w:rsidR="00202CBC" w:rsidRPr="0073550F">
        <w:rPr>
          <w:rFonts w:ascii="仿宋_GB2312" w:eastAsia="仿宋_GB2312" w:hAnsi="仿宋_GB2312" w:hint="eastAsia"/>
          <w:sz w:val="32"/>
          <w:szCs w:val="32"/>
        </w:rPr>
        <w:t>部门预算包括局机关本级预算和局属事业单位预算。</w:t>
      </w:r>
      <w:r>
        <w:rPr>
          <w:rFonts w:ascii="仿宋_GB2312" w:eastAsia="仿宋_GB2312" w:hAnsi="宋体" w:cs="宋体" w:hint="eastAsia"/>
          <w:kern w:val="0"/>
          <w:sz w:val="32"/>
          <w:szCs w:val="32"/>
        </w:rPr>
        <w:t>具体为：</w:t>
      </w:r>
    </w:p>
    <w:p w:rsidR="00660ECF" w:rsidRDefault="00660ECF">
      <w:pPr>
        <w:widowControl/>
        <w:spacing w:line="580" w:lineRule="atLeast"/>
        <w:ind w:left="960" w:hangingChars="300" w:hanging="960"/>
        <w:jc w:val="left"/>
        <w:rPr>
          <w:rFonts w:ascii="仿宋_GB2312" w:eastAsia="仿宋_GB2312" w:hAnsi="宋体" w:cs="宋体" w:hint="eastAsia"/>
          <w:kern w:val="0"/>
          <w:sz w:val="32"/>
          <w:szCs w:val="32"/>
        </w:rPr>
      </w:pPr>
      <w:r>
        <w:rPr>
          <w:rFonts w:ascii="仿宋_GB2312" w:eastAsia="仿宋_GB2312" w:hint="eastAsia"/>
          <w:sz w:val="32"/>
          <w:szCs w:val="32"/>
        </w:rPr>
        <w:t xml:space="preserve">     1、</w:t>
      </w:r>
      <w:r>
        <w:rPr>
          <w:rFonts w:ascii="仿宋_GB2312" w:eastAsia="仿宋_GB2312" w:hAnsi="仿宋_GB2312" w:hint="eastAsia"/>
          <w:sz w:val="32"/>
          <w:szCs w:val="32"/>
        </w:rPr>
        <w:t>漯河市发展和改革委员会委机关</w:t>
      </w:r>
      <w:r>
        <w:rPr>
          <w:rFonts w:ascii="仿宋_GB2312" w:eastAsia="仿宋_GB2312" w:hAnsi="宋体" w:cs="宋体" w:hint="eastAsia"/>
          <w:kern w:val="0"/>
          <w:sz w:val="32"/>
          <w:szCs w:val="32"/>
        </w:rPr>
        <w:t xml:space="preserve">  </w:t>
      </w:r>
    </w:p>
    <w:p w:rsidR="00660ECF" w:rsidRDefault="00660ECF">
      <w:pPr>
        <w:widowControl/>
        <w:spacing w:line="580" w:lineRule="atLeas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w:t>
      </w:r>
      <w:r>
        <w:rPr>
          <w:rFonts w:ascii="仿宋_GB2312" w:eastAsia="仿宋_GB2312" w:hAnsi="仿宋_GB2312" w:hint="eastAsia"/>
          <w:sz w:val="32"/>
          <w:szCs w:val="32"/>
        </w:rPr>
        <w:t>漯河市价格成本调查队</w:t>
      </w:r>
    </w:p>
    <w:p w:rsidR="00660ECF" w:rsidRDefault="00660ECF">
      <w:pPr>
        <w:widowControl/>
        <w:spacing w:line="580" w:lineRule="atLeast"/>
        <w:jc w:val="left"/>
        <w:rPr>
          <w:rFonts w:ascii="仿宋_GB2312" w:eastAsia="仿宋_GB2312" w:hAnsi="仿宋_GB2312" w:hint="eastAsia"/>
          <w:sz w:val="32"/>
          <w:szCs w:val="32"/>
        </w:rPr>
      </w:pPr>
      <w:r>
        <w:rPr>
          <w:rFonts w:ascii="仿宋_GB2312" w:eastAsia="仿宋_GB2312" w:hint="eastAsia"/>
          <w:sz w:val="32"/>
          <w:szCs w:val="32"/>
        </w:rPr>
        <w:t xml:space="preserve">     3、</w:t>
      </w:r>
      <w:r>
        <w:rPr>
          <w:rFonts w:ascii="仿宋_GB2312" w:eastAsia="仿宋_GB2312" w:hAnsi="仿宋_GB2312" w:hint="eastAsia"/>
          <w:sz w:val="32"/>
          <w:szCs w:val="32"/>
        </w:rPr>
        <w:t>漯河市价格认证服务中心</w:t>
      </w:r>
    </w:p>
    <w:p w:rsidR="00660ECF" w:rsidRDefault="00660ECF">
      <w:pPr>
        <w:widowControl/>
        <w:spacing w:line="580" w:lineRule="atLeast"/>
        <w:ind w:firstLineChars="262" w:firstLine="838"/>
        <w:jc w:val="left"/>
        <w:rPr>
          <w:rFonts w:ascii="仿宋_GB2312" w:eastAsia="仿宋_GB2312" w:hAnsi="仿宋_GB2312" w:hint="eastAsia"/>
          <w:sz w:val="32"/>
          <w:szCs w:val="32"/>
        </w:rPr>
      </w:pPr>
      <w:r>
        <w:rPr>
          <w:rFonts w:ascii="仿宋_GB2312" w:eastAsia="仿宋_GB2312" w:hAnsi="仿宋_GB2312" w:hint="eastAsia"/>
          <w:sz w:val="32"/>
          <w:szCs w:val="32"/>
        </w:rPr>
        <w:t>4、漯河市节能服务中心</w:t>
      </w:r>
    </w:p>
    <w:p w:rsidR="00660ECF" w:rsidRDefault="00660ECF">
      <w:pPr>
        <w:widowControl/>
        <w:spacing w:line="580" w:lineRule="atLeast"/>
        <w:ind w:firstLineChars="262" w:firstLine="838"/>
        <w:jc w:val="left"/>
        <w:rPr>
          <w:rFonts w:ascii="仿宋_GB2312" w:eastAsia="仿宋_GB2312" w:hAnsi="仿宋_GB2312" w:hint="eastAsia"/>
          <w:sz w:val="32"/>
          <w:szCs w:val="32"/>
        </w:rPr>
      </w:pPr>
      <w:r>
        <w:rPr>
          <w:rFonts w:ascii="仿宋_GB2312" w:eastAsia="仿宋_GB2312" w:hAnsi="仿宋_GB2312" w:hint="eastAsia"/>
          <w:sz w:val="32"/>
          <w:szCs w:val="32"/>
        </w:rPr>
        <w:t>5、漯河市服务业促进中心</w:t>
      </w:r>
    </w:p>
    <w:p w:rsidR="00660ECF" w:rsidRDefault="00660ECF">
      <w:pPr>
        <w:widowControl/>
        <w:spacing w:line="580" w:lineRule="atLeast"/>
        <w:ind w:firstLineChars="262" w:firstLine="838"/>
        <w:jc w:val="left"/>
        <w:rPr>
          <w:rFonts w:ascii="仿宋_GB2312" w:eastAsia="仿宋_GB2312" w:hint="eastAsia"/>
          <w:sz w:val="32"/>
          <w:szCs w:val="32"/>
        </w:rPr>
      </w:pPr>
      <w:r>
        <w:rPr>
          <w:rFonts w:ascii="仿宋_GB2312" w:eastAsia="仿宋_GB2312" w:hAnsi="仿宋_GB2312" w:hint="eastAsia"/>
          <w:sz w:val="32"/>
          <w:szCs w:val="32"/>
        </w:rPr>
        <w:t>6、河南进口肉类指定口岸漯河查验区服务中心</w:t>
      </w:r>
    </w:p>
    <w:p w:rsidR="00660ECF" w:rsidRDefault="00660ECF">
      <w:pPr>
        <w:widowControl/>
        <w:spacing w:line="580" w:lineRule="atLeast"/>
        <w:ind w:left="810"/>
        <w:jc w:val="left"/>
        <w:rPr>
          <w:rFonts w:ascii="仿宋_GB2312" w:eastAsia="仿宋_GB2312" w:hAnsi="仿宋_GB2312" w:hint="eastAsia"/>
          <w:sz w:val="32"/>
          <w:szCs w:val="32"/>
        </w:rPr>
      </w:pPr>
      <w:r>
        <w:rPr>
          <w:rFonts w:ascii="仿宋_GB2312" w:eastAsia="仿宋_GB2312" w:hAnsi="仿宋_GB2312" w:hint="eastAsia"/>
          <w:sz w:val="32"/>
          <w:szCs w:val="32"/>
        </w:rPr>
        <w:t>7、漯河市信息中心                        ；</w:t>
      </w:r>
    </w:p>
    <w:p w:rsidR="00660ECF" w:rsidRDefault="00660ECF" w:rsidP="007D588A">
      <w:pPr>
        <w:spacing w:line="580" w:lineRule="atLeast"/>
        <w:ind w:firstLineChars="300" w:firstLine="960"/>
        <w:rPr>
          <w:rFonts w:ascii="仿宋_GB2312" w:eastAsia="仿宋_GB2312" w:hAnsi="楷体_GB2312" w:hint="eastAsia"/>
          <w:b/>
          <w:bCs/>
          <w:sz w:val="32"/>
          <w:szCs w:val="32"/>
        </w:rPr>
      </w:pPr>
      <w:r>
        <w:rPr>
          <w:rFonts w:ascii="仿宋_GB2312" w:eastAsia="仿宋_GB2312" w:hAnsi="楷体_GB2312" w:hint="eastAsia"/>
          <w:b/>
          <w:bCs/>
          <w:sz w:val="32"/>
          <w:szCs w:val="32"/>
        </w:rPr>
        <w:t>三、人员构成情况</w:t>
      </w:r>
    </w:p>
    <w:p w:rsidR="00660ECF" w:rsidRDefault="00660ECF">
      <w:pPr>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漯河市发展和改革委员会委机关及归口预算管理单位共有在职职工134人，离退休人员76人。</w:t>
      </w:r>
    </w:p>
    <w:p w:rsidR="00660ECF" w:rsidRDefault="00660ECF">
      <w:pPr>
        <w:spacing w:line="580" w:lineRule="atLeast"/>
        <w:ind w:firstLineChars="200" w:firstLine="640"/>
        <w:rPr>
          <w:rFonts w:ascii="仿宋_GB2312" w:eastAsia="仿宋_GB2312" w:hAnsi="仿宋_GB2312" w:hint="eastAsia"/>
          <w:sz w:val="32"/>
          <w:szCs w:val="32"/>
        </w:rPr>
      </w:pPr>
    </w:p>
    <w:p w:rsidR="004750F5" w:rsidRDefault="00660ECF">
      <w:pPr>
        <w:widowControl/>
        <w:kinsoku w:val="0"/>
        <w:overflowPunct w:val="0"/>
        <w:adjustRightInd w:val="0"/>
        <w:snapToGrid w:val="0"/>
        <w:spacing w:line="592" w:lineRule="exact"/>
        <w:jc w:val="center"/>
        <w:rPr>
          <w:rFonts w:ascii="黑体" w:eastAsia="黑体" w:hAnsi="黑体" w:cs="黑体" w:hint="eastAsia"/>
          <w:b/>
          <w:bCs/>
          <w:color w:val="000000"/>
          <w:kern w:val="0"/>
          <w:sz w:val="32"/>
          <w:szCs w:val="32"/>
        </w:rPr>
      </w:pPr>
      <w:r>
        <w:rPr>
          <w:rFonts w:ascii="黑体" w:eastAsia="黑体" w:hAnsi="黑体" w:cs="黑体" w:hint="eastAsia"/>
          <w:b/>
          <w:bCs/>
          <w:color w:val="000000"/>
          <w:kern w:val="0"/>
          <w:sz w:val="32"/>
          <w:szCs w:val="32"/>
        </w:rPr>
        <w:t>第二部分</w:t>
      </w:r>
      <w:r>
        <w:rPr>
          <w:rFonts w:ascii="黑体" w:eastAsia="黑体" w:hAnsi="黑体" w:cs="黑体" w:hint="eastAsia"/>
          <w:b/>
          <w:bCs/>
          <w:color w:val="000000"/>
          <w:sz w:val="32"/>
          <w:szCs w:val="32"/>
        </w:rPr>
        <w:t xml:space="preserve">   </w:t>
      </w:r>
      <w:r w:rsidR="004750F5" w:rsidRPr="004750F5">
        <w:rPr>
          <w:rFonts w:ascii="黑体" w:eastAsia="黑体" w:hAnsi="黑体" w:cs="黑体" w:hint="eastAsia"/>
          <w:b/>
          <w:bCs/>
          <w:color w:val="000000"/>
          <w:kern w:val="0"/>
          <w:sz w:val="32"/>
          <w:szCs w:val="32"/>
        </w:rPr>
        <w:t>漯河市发展和改革委员会</w:t>
      </w:r>
      <w:r>
        <w:rPr>
          <w:rFonts w:ascii="黑体" w:eastAsia="黑体" w:hAnsi="黑体" w:cs="黑体" w:hint="eastAsia"/>
          <w:b/>
          <w:bCs/>
          <w:color w:val="000000"/>
          <w:kern w:val="0"/>
          <w:sz w:val="32"/>
          <w:szCs w:val="32"/>
        </w:rPr>
        <w:t>2019年度部门预算</w:t>
      </w:r>
    </w:p>
    <w:p w:rsidR="00660ECF" w:rsidRDefault="00660ECF">
      <w:pPr>
        <w:widowControl/>
        <w:kinsoku w:val="0"/>
        <w:overflowPunct w:val="0"/>
        <w:adjustRightInd w:val="0"/>
        <w:snapToGrid w:val="0"/>
        <w:spacing w:line="592" w:lineRule="exact"/>
        <w:jc w:val="center"/>
        <w:rPr>
          <w:rFonts w:ascii="黑体" w:eastAsia="黑体" w:hAnsi="黑体" w:cs="黑体" w:hint="eastAsia"/>
          <w:b/>
          <w:bCs/>
          <w:color w:val="000000"/>
          <w:kern w:val="0"/>
          <w:sz w:val="32"/>
          <w:szCs w:val="32"/>
        </w:rPr>
      </w:pPr>
      <w:r>
        <w:rPr>
          <w:rFonts w:ascii="黑体" w:eastAsia="黑体" w:hAnsi="黑体" w:cs="黑体" w:hint="eastAsia"/>
          <w:b/>
          <w:bCs/>
          <w:color w:val="000000"/>
          <w:kern w:val="0"/>
          <w:sz w:val="32"/>
          <w:szCs w:val="32"/>
        </w:rPr>
        <w:t>情况说明</w:t>
      </w:r>
    </w:p>
    <w:p w:rsidR="004750F5" w:rsidRDefault="004750F5">
      <w:pPr>
        <w:widowControl/>
        <w:kinsoku w:val="0"/>
        <w:overflowPunct w:val="0"/>
        <w:adjustRightInd w:val="0"/>
        <w:snapToGrid w:val="0"/>
        <w:spacing w:line="592" w:lineRule="exact"/>
        <w:jc w:val="center"/>
        <w:rPr>
          <w:rFonts w:ascii="仿宋_GB2312" w:eastAsia="仿宋_GB2312" w:hAnsi="仿宋_GB2312" w:hint="eastAsia"/>
          <w:sz w:val="32"/>
          <w:szCs w:val="32"/>
        </w:rPr>
      </w:pPr>
    </w:p>
    <w:p w:rsidR="00660ECF" w:rsidRDefault="00660ECF">
      <w:pPr>
        <w:widowControl/>
        <w:spacing w:line="580" w:lineRule="atLeast"/>
        <w:ind w:firstLineChars="250" w:firstLine="800"/>
        <w:jc w:val="left"/>
        <w:rPr>
          <w:rFonts w:ascii="仿宋_GB2312" w:eastAsia="仿宋_GB2312" w:hAnsi="仿宋_GB2312" w:hint="eastAsia"/>
          <w:sz w:val="32"/>
          <w:szCs w:val="32"/>
        </w:rPr>
      </w:pPr>
      <w:r>
        <w:rPr>
          <w:rFonts w:ascii="仿宋_GB2312" w:eastAsia="仿宋_GB2312" w:hAnsi="仿宋_GB2312" w:hint="eastAsia"/>
          <w:sz w:val="32"/>
          <w:szCs w:val="32"/>
        </w:rPr>
        <w:t>2019年部门预算主要任务是：</w:t>
      </w:r>
      <w:r>
        <w:rPr>
          <w:rFonts w:eastAsia="仿宋_GB2312"/>
          <w:sz w:val="32"/>
          <w:szCs w:val="32"/>
        </w:rPr>
        <w:t>加快投资和重点项目建设；协调推进产业集聚区建设；加快工业转型升级；加快新型城镇化建设；加快发展服务业；加快节能减排和生态环境建设；协调改善民生；深化重点领域改革；推进口岸平台建设；做好肉类口岸有关工作；协调推进港务办工作；加强高效服务型机关建设。做好市级刑事案件、行政执法案件涉案物品和税收征管中应税财物的价格鉴定工作；抓好农产品、工业品成本调查和成本监审</w:t>
      </w:r>
      <w:r>
        <w:rPr>
          <w:rFonts w:eastAsia="仿宋_GB2312" w:hint="eastAsia"/>
          <w:sz w:val="32"/>
          <w:szCs w:val="32"/>
        </w:rPr>
        <w:t>。</w:t>
      </w:r>
    </w:p>
    <w:p w:rsidR="00660ECF" w:rsidRDefault="00660ECF" w:rsidP="007D588A">
      <w:pPr>
        <w:widowControl/>
        <w:spacing w:line="580" w:lineRule="atLeast"/>
        <w:ind w:firstLineChars="200" w:firstLine="640"/>
        <w:jc w:val="left"/>
        <w:rPr>
          <w:rFonts w:ascii="仿宋_GB2312" w:eastAsia="仿宋_GB2312" w:hAnsi="楷体_GB2312" w:hint="eastAsia"/>
          <w:b/>
          <w:bCs/>
          <w:sz w:val="32"/>
          <w:szCs w:val="32"/>
        </w:rPr>
      </w:pPr>
      <w:r>
        <w:rPr>
          <w:rFonts w:ascii="仿宋_GB2312" w:eastAsia="仿宋_GB2312" w:hAnsi="楷体_GB2312" w:hint="eastAsia"/>
          <w:b/>
          <w:bCs/>
          <w:sz w:val="32"/>
          <w:szCs w:val="32"/>
        </w:rPr>
        <w:t>一、收入支出预算总体情况说明</w:t>
      </w:r>
    </w:p>
    <w:p w:rsidR="00660ECF" w:rsidRDefault="00660ECF" w:rsidP="004750F5">
      <w:pPr>
        <w:widowControl/>
        <w:spacing w:line="580" w:lineRule="atLeast"/>
        <w:ind w:firstLineChars="200" w:firstLine="640"/>
        <w:jc w:val="left"/>
        <w:rPr>
          <w:rFonts w:ascii="仿宋_GB2312" w:eastAsia="仿宋_GB2312" w:hAnsi="宋体" w:cs="宋体" w:hint="eastAsia"/>
          <w:b/>
          <w:kern w:val="0"/>
          <w:sz w:val="32"/>
          <w:szCs w:val="32"/>
        </w:rPr>
      </w:pPr>
      <w:r>
        <w:rPr>
          <w:rFonts w:ascii="仿宋_GB2312" w:eastAsia="仿宋_GB2312" w:hAnsi="仿宋_GB2312" w:hint="eastAsia"/>
          <w:sz w:val="32"/>
          <w:szCs w:val="32"/>
        </w:rPr>
        <w:t>漯河市发展和改革委员会2019年收入总计31</w:t>
      </w:r>
      <w:r w:rsidR="00022BF9">
        <w:rPr>
          <w:rFonts w:ascii="仿宋_GB2312" w:eastAsia="仿宋_GB2312" w:hAnsi="仿宋_GB2312" w:hint="eastAsia"/>
          <w:sz w:val="32"/>
          <w:szCs w:val="32"/>
        </w:rPr>
        <w:t>21.81</w:t>
      </w:r>
      <w:r>
        <w:rPr>
          <w:rFonts w:ascii="仿宋_GB2312" w:eastAsia="仿宋_GB2312" w:hAnsi="仿宋_GB2312" w:hint="eastAsia"/>
          <w:sz w:val="32"/>
          <w:szCs w:val="32"/>
        </w:rPr>
        <w:t>万元，支出总计</w:t>
      </w:r>
      <w:r w:rsidR="00022BF9">
        <w:rPr>
          <w:rFonts w:ascii="仿宋_GB2312" w:eastAsia="仿宋_GB2312" w:hAnsi="仿宋_GB2312" w:hint="eastAsia"/>
          <w:sz w:val="32"/>
          <w:szCs w:val="32"/>
        </w:rPr>
        <w:t>3121.81</w:t>
      </w:r>
      <w:r>
        <w:rPr>
          <w:rFonts w:ascii="仿宋_GB2312" w:eastAsia="仿宋_GB2312" w:hAnsi="仿宋_GB2312" w:hint="eastAsia"/>
          <w:sz w:val="32"/>
          <w:szCs w:val="32"/>
        </w:rPr>
        <w:t>万元，与2018年相比，收、支总计各减少21</w:t>
      </w:r>
      <w:r w:rsidR="00022BF9">
        <w:rPr>
          <w:rFonts w:ascii="仿宋_GB2312" w:eastAsia="仿宋_GB2312" w:hAnsi="仿宋_GB2312" w:hint="eastAsia"/>
          <w:sz w:val="32"/>
          <w:szCs w:val="32"/>
        </w:rPr>
        <w:t>5</w:t>
      </w:r>
      <w:r>
        <w:rPr>
          <w:rFonts w:ascii="仿宋_GB2312" w:eastAsia="仿宋_GB2312" w:hAnsi="仿宋_GB2312" w:hint="eastAsia"/>
          <w:sz w:val="32"/>
          <w:szCs w:val="32"/>
        </w:rPr>
        <w:t>.</w:t>
      </w:r>
      <w:r w:rsidR="00022BF9">
        <w:rPr>
          <w:rFonts w:ascii="仿宋_GB2312" w:eastAsia="仿宋_GB2312" w:hAnsi="仿宋_GB2312" w:hint="eastAsia"/>
          <w:sz w:val="32"/>
          <w:szCs w:val="32"/>
        </w:rPr>
        <w:t>67</w:t>
      </w:r>
      <w:r>
        <w:rPr>
          <w:rFonts w:ascii="仿宋_GB2312" w:eastAsia="仿宋_GB2312" w:hAnsi="仿宋_GB2312" w:hint="eastAsia"/>
          <w:sz w:val="32"/>
          <w:szCs w:val="32"/>
        </w:rPr>
        <w:t>万元，下降6.</w:t>
      </w:r>
      <w:r w:rsidR="00AB53F1">
        <w:rPr>
          <w:rFonts w:ascii="仿宋_GB2312" w:eastAsia="仿宋_GB2312" w:hAnsi="仿宋_GB2312" w:hint="eastAsia"/>
          <w:sz w:val="32"/>
          <w:szCs w:val="32"/>
        </w:rPr>
        <w:t>5</w:t>
      </w:r>
      <w:r>
        <w:rPr>
          <w:rFonts w:ascii="仿宋_GB2312" w:eastAsia="仿宋_GB2312" w:hAnsi="仿宋_GB2312" w:hint="eastAsia"/>
          <w:sz w:val="32"/>
          <w:szCs w:val="32"/>
        </w:rPr>
        <w:t xml:space="preserve"> %。主要原因：</w:t>
      </w:r>
      <w:r>
        <w:rPr>
          <w:rFonts w:ascii="仿宋_GB2312" w:eastAsia="仿宋_GB2312" w:hAnsi="宋体" w:cs="宋体" w:hint="eastAsia"/>
          <w:kern w:val="0"/>
          <w:sz w:val="32"/>
          <w:szCs w:val="32"/>
        </w:rPr>
        <w:t>政府性基金收入减少。</w:t>
      </w:r>
    </w:p>
    <w:p w:rsidR="00660ECF" w:rsidRDefault="00660ECF" w:rsidP="007D588A">
      <w:pPr>
        <w:spacing w:line="580" w:lineRule="atLeast"/>
        <w:ind w:firstLineChars="200" w:firstLine="640"/>
        <w:rPr>
          <w:rFonts w:ascii="仿宋_GB2312" w:eastAsia="仿宋_GB2312" w:hAnsi="楷体_GB2312" w:hint="eastAsia"/>
          <w:b/>
          <w:bCs/>
          <w:sz w:val="32"/>
          <w:szCs w:val="32"/>
        </w:rPr>
      </w:pPr>
      <w:r>
        <w:rPr>
          <w:rFonts w:ascii="仿宋_GB2312" w:eastAsia="仿宋_GB2312" w:hAnsi="楷体_GB2312" w:hint="eastAsia"/>
          <w:b/>
          <w:bCs/>
          <w:sz w:val="32"/>
          <w:szCs w:val="32"/>
        </w:rPr>
        <w:t>二、收入预算总体情况说明</w:t>
      </w:r>
    </w:p>
    <w:p w:rsidR="00660ECF" w:rsidRDefault="00660ECF">
      <w:pPr>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漯河市发展和改革委员会2019年收入合计</w:t>
      </w:r>
      <w:r w:rsidR="00A84B65">
        <w:rPr>
          <w:rFonts w:ascii="仿宋_GB2312" w:eastAsia="仿宋_GB2312" w:hAnsi="仿宋_GB2312" w:hint="eastAsia"/>
          <w:sz w:val="32"/>
          <w:szCs w:val="32"/>
        </w:rPr>
        <w:t>3121.81</w:t>
      </w:r>
      <w:r>
        <w:rPr>
          <w:rFonts w:ascii="仿宋_GB2312" w:eastAsia="仿宋_GB2312" w:hAnsi="仿宋_GB2312" w:hint="eastAsia"/>
          <w:sz w:val="32"/>
          <w:szCs w:val="32"/>
        </w:rPr>
        <w:t>万元，其中：2018年部门预算结转36</w:t>
      </w:r>
      <w:r w:rsidR="00A84B65">
        <w:rPr>
          <w:rFonts w:ascii="仿宋_GB2312" w:eastAsia="仿宋_GB2312" w:hAnsi="仿宋_GB2312" w:hint="eastAsia"/>
          <w:sz w:val="32"/>
          <w:szCs w:val="32"/>
        </w:rPr>
        <w:t>9.98</w:t>
      </w:r>
      <w:r>
        <w:rPr>
          <w:rFonts w:ascii="仿宋_GB2312" w:eastAsia="仿宋_GB2312" w:hAnsi="仿宋_GB2312" w:hint="eastAsia"/>
          <w:sz w:val="32"/>
          <w:szCs w:val="32"/>
        </w:rPr>
        <w:t>万元，财政拨款收入2751.03万元，专项收入0 万元，纳入预算管理的行政事业性收费收入0万元，国有资源（资产）有偿使用收入</w:t>
      </w:r>
      <w:r w:rsidR="00A84B65">
        <w:rPr>
          <w:rFonts w:ascii="仿宋_GB2312" w:eastAsia="仿宋_GB2312" w:hAnsi="仿宋_GB2312" w:hint="eastAsia"/>
          <w:sz w:val="32"/>
          <w:szCs w:val="32"/>
        </w:rPr>
        <w:t>0.8</w:t>
      </w:r>
      <w:r>
        <w:rPr>
          <w:rFonts w:ascii="仿宋_GB2312" w:eastAsia="仿宋_GB2312" w:hAnsi="仿宋_GB2312" w:hint="eastAsia"/>
          <w:sz w:val="32"/>
          <w:szCs w:val="32"/>
        </w:rPr>
        <w:lastRenderedPageBreak/>
        <w:t>万元，政府性基金收入0万元，中央省专项转移支付0万元，专户管理的收入0万元，其他收入0万元。</w:t>
      </w:r>
    </w:p>
    <w:p w:rsidR="00660ECF" w:rsidRDefault="00660ECF">
      <w:pPr>
        <w:widowControl/>
        <w:spacing w:line="580" w:lineRule="atLeast"/>
        <w:jc w:val="left"/>
        <w:rPr>
          <w:rFonts w:ascii="仿宋_GB2312" w:eastAsia="仿宋_GB2312" w:hAnsi="楷体_GB2312" w:hint="eastAsia"/>
          <w:b/>
          <w:bCs/>
          <w:sz w:val="32"/>
          <w:szCs w:val="32"/>
        </w:rPr>
      </w:pPr>
      <w:r>
        <w:rPr>
          <w:rFonts w:ascii="仿宋_GB2312" w:eastAsia="仿宋_GB2312" w:hAnsi="楷体_GB2312" w:hint="eastAsia"/>
          <w:b/>
          <w:bCs/>
          <w:sz w:val="32"/>
          <w:szCs w:val="32"/>
        </w:rPr>
        <w:t xml:space="preserve">    三、支出预算总体情况说明</w:t>
      </w:r>
    </w:p>
    <w:p w:rsidR="00660ECF" w:rsidRDefault="00660ECF" w:rsidP="004750F5">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漯河市发展和改革委员会2019年支出合计</w:t>
      </w:r>
      <w:r w:rsidR="00CC6D5B">
        <w:rPr>
          <w:rFonts w:ascii="仿宋_GB2312" w:eastAsia="仿宋_GB2312" w:hAnsi="仿宋_GB2312" w:hint="eastAsia"/>
          <w:sz w:val="32"/>
          <w:szCs w:val="32"/>
        </w:rPr>
        <w:t>3121.81</w:t>
      </w:r>
      <w:r>
        <w:rPr>
          <w:rFonts w:ascii="仿宋_GB2312" w:eastAsia="仿宋_GB2312" w:hAnsi="仿宋_GB2312" w:hint="eastAsia"/>
          <w:sz w:val="32"/>
          <w:szCs w:val="32"/>
        </w:rPr>
        <w:t>万元，其中：基本支出 2049.81万元，占65.7%；项目支出</w:t>
      </w:r>
      <w:r w:rsidR="00CC6D5B">
        <w:rPr>
          <w:rFonts w:ascii="仿宋_GB2312" w:eastAsia="仿宋_GB2312" w:hAnsi="仿宋_GB2312" w:hint="eastAsia"/>
          <w:sz w:val="32"/>
          <w:szCs w:val="32"/>
        </w:rPr>
        <w:t>1072</w:t>
      </w:r>
      <w:r>
        <w:rPr>
          <w:rFonts w:ascii="仿宋_GB2312" w:eastAsia="仿宋_GB2312" w:hAnsi="仿宋_GB2312" w:hint="eastAsia"/>
          <w:sz w:val="32"/>
          <w:szCs w:val="32"/>
        </w:rPr>
        <w:t>万元，占34.</w:t>
      </w:r>
      <w:r w:rsidR="008C4E06">
        <w:rPr>
          <w:rFonts w:ascii="仿宋_GB2312" w:eastAsia="仿宋_GB2312" w:hAnsi="仿宋_GB2312" w:hint="eastAsia"/>
          <w:sz w:val="32"/>
          <w:szCs w:val="32"/>
        </w:rPr>
        <w:t>3</w:t>
      </w:r>
      <w:r>
        <w:rPr>
          <w:rFonts w:ascii="仿宋_GB2312" w:eastAsia="仿宋_GB2312" w:hAnsi="仿宋_GB2312" w:hint="eastAsia"/>
          <w:sz w:val="32"/>
          <w:szCs w:val="32"/>
        </w:rPr>
        <w:t>%。</w:t>
      </w:r>
    </w:p>
    <w:p w:rsidR="004750F5" w:rsidRDefault="00660ECF" w:rsidP="004750F5">
      <w:pPr>
        <w:widowControl/>
        <w:spacing w:line="580" w:lineRule="atLeast"/>
        <w:jc w:val="left"/>
        <w:rPr>
          <w:rFonts w:ascii="仿宋_GB2312" w:eastAsia="仿宋_GB2312" w:hAnsi="楷体_GB2312" w:hint="eastAsia"/>
          <w:b/>
          <w:bCs/>
          <w:sz w:val="32"/>
          <w:szCs w:val="32"/>
        </w:rPr>
      </w:pPr>
      <w:r>
        <w:rPr>
          <w:rFonts w:ascii="仿宋_GB2312" w:eastAsia="仿宋_GB2312" w:hAnsi="楷体_GB2312" w:hint="eastAsia"/>
          <w:b/>
          <w:bCs/>
          <w:sz w:val="32"/>
          <w:szCs w:val="32"/>
        </w:rPr>
        <w:t xml:space="preserve">    四、财政拨款收入支出预算总体情况说明</w:t>
      </w:r>
    </w:p>
    <w:p w:rsidR="00660ECF" w:rsidRPr="004750F5" w:rsidRDefault="00660ECF" w:rsidP="004750F5">
      <w:pPr>
        <w:widowControl/>
        <w:spacing w:line="580" w:lineRule="atLeast"/>
        <w:ind w:firstLineChars="196" w:firstLine="627"/>
        <w:jc w:val="left"/>
        <w:rPr>
          <w:rFonts w:ascii="仿宋_GB2312" w:eastAsia="仿宋_GB2312" w:hAnsi="楷体_GB2312" w:hint="eastAsia"/>
          <w:b/>
          <w:bCs/>
          <w:sz w:val="32"/>
          <w:szCs w:val="32"/>
        </w:rPr>
      </w:pPr>
      <w:r>
        <w:rPr>
          <w:rFonts w:ascii="仿宋_GB2312" w:eastAsia="仿宋_GB2312" w:hAnsi="仿宋_GB2312" w:hint="eastAsia"/>
          <w:sz w:val="32"/>
          <w:szCs w:val="32"/>
        </w:rPr>
        <w:t xml:space="preserve">漯河市发展和改革委员会2019年一般公共预算收支预算2751.83万元，政府性基金收支预算 0万元。与 2018年相比，一般公共预算收支预算增加 318.35 </w:t>
      </w:r>
      <w:r w:rsidR="00202CBC">
        <w:rPr>
          <w:rFonts w:ascii="仿宋_GB2312" w:eastAsia="仿宋_GB2312" w:hAnsi="仿宋_GB2312" w:hint="eastAsia"/>
          <w:sz w:val="32"/>
          <w:szCs w:val="32"/>
        </w:rPr>
        <w:t>万元，增长</w:t>
      </w:r>
      <w:r>
        <w:rPr>
          <w:rFonts w:ascii="仿宋_GB2312" w:eastAsia="仿宋_GB2312" w:hAnsi="仿宋_GB2312" w:hint="eastAsia"/>
          <w:sz w:val="32"/>
          <w:szCs w:val="32"/>
        </w:rPr>
        <w:t>13.08%，主要原因：增加了“双替代”供暖补贴资金、检验检疫运行费用、协检员制装及各项补助。政府性基金收支预算减少904 万元，下降 100 %，主要原因：2019年没有政府性基金收入。</w:t>
      </w:r>
    </w:p>
    <w:p w:rsidR="00660ECF" w:rsidRDefault="00660ECF" w:rsidP="007D588A">
      <w:pPr>
        <w:widowControl/>
        <w:spacing w:line="580" w:lineRule="atLeast"/>
        <w:ind w:firstLineChars="200" w:firstLine="640"/>
        <w:jc w:val="left"/>
        <w:rPr>
          <w:rFonts w:ascii="仿宋_GB2312" w:eastAsia="仿宋_GB2312" w:hAnsi="楷体_GB2312" w:hint="eastAsia"/>
          <w:b/>
          <w:bCs/>
          <w:sz w:val="32"/>
          <w:szCs w:val="32"/>
        </w:rPr>
      </w:pPr>
      <w:r>
        <w:rPr>
          <w:rFonts w:ascii="仿宋_GB2312" w:eastAsia="仿宋_GB2312" w:hAnsi="楷体_GB2312" w:hint="eastAsia"/>
          <w:b/>
          <w:bCs/>
          <w:sz w:val="32"/>
          <w:szCs w:val="32"/>
        </w:rPr>
        <w:t>五、一般公共预算支出预算情况说明</w:t>
      </w:r>
    </w:p>
    <w:p w:rsidR="00660ECF" w:rsidRDefault="00660ECF">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漯河市发展和改革委员会2019年一般公共预算支出年初预算为2751.83万元。主要用于以下方面：一般公共服务（类）支出</w:t>
      </w:r>
      <w:r w:rsidR="00202CBC">
        <w:rPr>
          <w:rFonts w:ascii="仿宋_GB2312" w:eastAsia="仿宋_GB2312" w:hAnsi="仿宋_GB2312" w:hint="eastAsia"/>
          <w:sz w:val="32"/>
          <w:szCs w:val="32"/>
        </w:rPr>
        <w:t>1916.42</w:t>
      </w:r>
      <w:r>
        <w:rPr>
          <w:rFonts w:ascii="仿宋_GB2312" w:eastAsia="仿宋_GB2312" w:hAnsi="仿宋_GB2312" w:hint="eastAsia"/>
          <w:sz w:val="32"/>
          <w:szCs w:val="32"/>
        </w:rPr>
        <w:t>万元,占</w:t>
      </w:r>
      <w:r w:rsidR="00202CBC">
        <w:rPr>
          <w:rFonts w:ascii="仿宋_GB2312" w:eastAsia="仿宋_GB2312" w:hAnsi="仿宋_GB2312" w:hint="eastAsia"/>
          <w:sz w:val="32"/>
          <w:szCs w:val="32"/>
        </w:rPr>
        <w:t>69.6</w:t>
      </w:r>
      <w:r>
        <w:rPr>
          <w:rFonts w:ascii="仿宋_GB2312" w:eastAsia="仿宋_GB2312" w:hAnsi="仿宋_GB2312" w:hint="eastAsia"/>
          <w:sz w:val="32"/>
          <w:szCs w:val="32"/>
        </w:rPr>
        <w:t>%；教育支出(类)3万元，占 0.11 %；社会保障和就业支出（类）315.43万元，占 11.</w:t>
      </w:r>
      <w:r w:rsidR="00202CBC">
        <w:rPr>
          <w:rFonts w:ascii="仿宋_GB2312" w:eastAsia="仿宋_GB2312" w:hAnsi="仿宋_GB2312" w:hint="eastAsia"/>
          <w:sz w:val="32"/>
          <w:szCs w:val="32"/>
        </w:rPr>
        <w:t>5</w:t>
      </w:r>
      <w:r>
        <w:rPr>
          <w:rFonts w:ascii="仿宋_GB2312" w:eastAsia="仿宋_GB2312" w:hAnsi="仿宋_GB2312" w:hint="eastAsia"/>
          <w:sz w:val="32"/>
          <w:szCs w:val="32"/>
        </w:rPr>
        <w:t xml:space="preserve"> %；</w:t>
      </w:r>
      <w:r w:rsidR="007D588A" w:rsidRPr="001255E0">
        <w:rPr>
          <w:rFonts w:ascii="仿宋_GB2312" w:eastAsia="仿宋_GB2312" w:hAnsi="宋体" w:hint="eastAsia"/>
          <w:sz w:val="32"/>
          <w:szCs w:val="32"/>
        </w:rPr>
        <w:t>卫生健康</w:t>
      </w:r>
      <w:r w:rsidR="007D588A" w:rsidRPr="00E40349">
        <w:rPr>
          <w:rFonts w:ascii="仿宋_GB2312" w:eastAsia="仿宋_GB2312" w:hAnsi="宋体" w:hint="eastAsia"/>
          <w:sz w:val="32"/>
          <w:szCs w:val="32"/>
        </w:rPr>
        <w:t>支出（类）</w:t>
      </w:r>
      <w:r>
        <w:rPr>
          <w:rFonts w:ascii="仿宋_GB2312" w:eastAsia="仿宋_GB2312" w:hAnsi="仿宋_GB2312" w:hint="eastAsia"/>
          <w:sz w:val="32"/>
          <w:szCs w:val="32"/>
        </w:rPr>
        <w:t>70.70万元，占2.</w:t>
      </w:r>
      <w:r w:rsidR="00202CBC">
        <w:rPr>
          <w:rFonts w:ascii="仿宋_GB2312" w:eastAsia="仿宋_GB2312" w:hAnsi="仿宋_GB2312" w:hint="eastAsia"/>
          <w:sz w:val="32"/>
          <w:szCs w:val="32"/>
        </w:rPr>
        <w:t>6</w:t>
      </w:r>
      <w:r>
        <w:rPr>
          <w:rFonts w:ascii="仿宋_GB2312" w:eastAsia="仿宋_GB2312" w:hAnsi="仿宋_GB2312" w:hint="eastAsia"/>
          <w:sz w:val="32"/>
          <w:szCs w:val="32"/>
        </w:rPr>
        <w:t>%；住房保障（类）支出137.16万元，占</w:t>
      </w:r>
      <w:r w:rsidR="00202CBC">
        <w:rPr>
          <w:rFonts w:ascii="仿宋_GB2312" w:eastAsia="仿宋_GB2312" w:hAnsi="仿宋_GB2312" w:hint="eastAsia"/>
          <w:sz w:val="32"/>
          <w:szCs w:val="32"/>
        </w:rPr>
        <w:t>5</w:t>
      </w:r>
      <w:r>
        <w:rPr>
          <w:rFonts w:ascii="仿宋_GB2312" w:eastAsia="仿宋_GB2312" w:hAnsi="仿宋_GB2312" w:hint="eastAsia"/>
          <w:sz w:val="32"/>
          <w:szCs w:val="32"/>
        </w:rPr>
        <w:t>%。</w:t>
      </w:r>
    </w:p>
    <w:p w:rsidR="00660ECF" w:rsidRDefault="00660ECF">
      <w:pPr>
        <w:widowControl/>
        <w:spacing w:line="580" w:lineRule="atLeast"/>
        <w:jc w:val="left"/>
        <w:rPr>
          <w:rFonts w:ascii="仿宋_GB2312" w:eastAsia="仿宋_GB2312" w:hint="eastAsia"/>
          <w:b/>
          <w:sz w:val="32"/>
          <w:szCs w:val="32"/>
        </w:rPr>
      </w:pPr>
      <w:r>
        <w:rPr>
          <w:rFonts w:ascii="仿宋_GB2312" w:eastAsia="仿宋_GB2312" w:hAnsi="楷体_GB2312" w:hint="eastAsia"/>
          <w:b/>
          <w:bCs/>
          <w:sz w:val="32"/>
          <w:szCs w:val="32"/>
        </w:rPr>
        <w:t xml:space="preserve">    </w:t>
      </w:r>
      <w:r>
        <w:rPr>
          <w:rFonts w:ascii="仿宋_GB2312" w:eastAsia="仿宋_GB2312" w:hint="eastAsia"/>
          <w:b/>
          <w:sz w:val="32"/>
          <w:szCs w:val="32"/>
        </w:rPr>
        <w:t>六、支出预算经济分类情况说明</w:t>
      </w:r>
    </w:p>
    <w:p w:rsidR="00660ECF" w:rsidRDefault="00660ECF">
      <w:pPr>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委《支出经济分类汇总表》由2017年仅反映一般公共预算基本支出经济分类科目预算，调整为按两套经济分类科目分别反映不同资金来源的全部预算支出。</w:t>
      </w:r>
    </w:p>
    <w:p w:rsidR="00660ECF" w:rsidRDefault="00660ECF">
      <w:pPr>
        <w:spacing w:line="580" w:lineRule="exact"/>
        <w:ind w:firstLine="66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2019年预算支出</w:t>
      </w:r>
      <w:r w:rsidR="008C4E06">
        <w:rPr>
          <w:rFonts w:ascii="仿宋_GB2312" w:eastAsia="仿宋_GB2312" w:hAnsi="宋体" w:cs="宋体" w:hint="eastAsia"/>
          <w:kern w:val="0"/>
          <w:sz w:val="32"/>
          <w:szCs w:val="32"/>
        </w:rPr>
        <w:t>3</w:t>
      </w:r>
      <w:r w:rsidR="008442A2">
        <w:rPr>
          <w:rFonts w:ascii="仿宋_GB2312" w:eastAsia="仿宋_GB2312" w:hAnsi="宋体" w:cs="宋体" w:hint="eastAsia"/>
          <w:kern w:val="0"/>
          <w:sz w:val="32"/>
          <w:szCs w:val="32"/>
        </w:rPr>
        <w:t>121.8</w:t>
      </w:r>
      <w:r>
        <w:rPr>
          <w:rFonts w:ascii="仿宋_GB2312" w:eastAsia="仿宋_GB2312" w:hAnsi="宋体" w:cs="宋体" w:hint="eastAsia"/>
          <w:kern w:val="0"/>
          <w:sz w:val="32"/>
          <w:szCs w:val="32"/>
        </w:rPr>
        <w:t>万元，其中：人员经费   1892.</w:t>
      </w:r>
      <w:r w:rsidR="005534F3">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3万元，主要包括：基本工资、津贴补贴、奖金、伙食补助费、绩效工资、机关事业单位基本养老保险缴费、职业年金缴费、医疗保险缴费、其他社会保障缴费、住房公积金、医疗费、其他工资福利支出、离休费、退休费、助学金、奖励金、其他对个人和家庭的补助支出；公用经费</w:t>
      </w:r>
      <w:r w:rsidR="005534F3">
        <w:rPr>
          <w:rFonts w:ascii="仿宋_GB2312" w:eastAsia="仿宋_GB2312" w:hAnsi="宋体" w:cs="宋体" w:hint="eastAsia"/>
          <w:kern w:val="0"/>
          <w:sz w:val="32"/>
          <w:szCs w:val="32"/>
        </w:rPr>
        <w:t>1228.88</w:t>
      </w:r>
      <w:r>
        <w:rPr>
          <w:rFonts w:ascii="仿宋_GB2312" w:eastAsia="仿宋_GB2312" w:hAnsi="宋体" w:cs="宋体" w:hint="eastAsia"/>
          <w:kern w:val="0"/>
          <w:sz w:val="32"/>
          <w:szCs w:val="32"/>
        </w:rPr>
        <w:t xml:space="preserve"> 万元，主要包括：办公费、印刷费、咨询费、手续费、水费、电费、邮电费、取暖费、物业管理费、差旅费、因公出国（境）费、维修（护）费、租赁费、会议费、培训费、公务接待费、专用材料费、专用燃料费、劳务费、委托业务费、工会经费、福利费、公务用车运行维护费、其他交通费用、税金及附加费用、其他商品和服务支出、债务利息、办公设备购置、专用设备购置、基础设施建设、大型修缮、信息网络及软件购置更新、公务用车购置、其他资本性支出和其他支出。</w:t>
      </w:r>
    </w:p>
    <w:p w:rsidR="00660ECF" w:rsidRDefault="00660ECF" w:rsidP="007D588A">
      <w:pPr>
        <w:spacing w:line="580" w:lineRule="atLeast"/>
        <w:ind w:firstLineChars="200" w:firstLine="640"/>
        <w:rPr>
          <w:rFonts w:ascii="仿宋_GB2312" w:eastAsia="仿宋_GB2312" w:hAnsi="楷体_GB2312" w:hint="eastAsia"/>
          <w:b/>
          <w:bCs/>
          <w:sz w:val="32"/>
          <w:szCs w:val="32"/>
        </w:rPr>
      </w:pPr>
      <w:r>
        <w:rPr>
          <w:rFonts w:ascii="仿宋_GB2312" w:eastAsia="仿宋_GB2312" w:hAnsi="楷体_GB2312" w:hint="eastAsia"/>
          <w:b/>
          <w:bCs/>
          <w:sz w:val="32"/>
          <w:szCs w:val="32"/>
        </w:rPr>
        <w:t>七、政府性基金预算支出决算情况说明</w:t>
      </w:r>
    </w:p>
    <w:p w:rsidR="008563B8" w:rsidRDefault="00660ECF" w:rsidP="008563B8">
      <w:pPr>
        <w:widowControl/>
        <w:spacing w:line="580" w:lineRule="atLeast"/>
        <w:ind w:firstLineChars="200" w:firstLine="640"/>
        <w:jc w:val="left"/>
        <w:rPr>
          <w:rFonts w:ascii="仿宋_GB2312" w:eastAsia="仿宋_GB2312" w:hint="eastAsia"/>
          <w:kern w:val="0"/>
          <w:sz w:val="32"/>
          <w:szCs w:val="32"/>
        </w:rPr>
      </w:pPr>
      <w:r>
        <w:rPr>
          <w:rFonts w:ascii="仿宋_GB2312" w:eastAsia="仿宋_GB2312" w:hAnsi="仿宋_GB2312" w:hint="eastAsia"/>
          <w:sz w:val="32"/>
          <w:szCs w:val="32"/>
        </w:rPr>
        <w:lastRenderedPageBreak/>
        <w:t>我部门</w:t>
      </w:r>
      <w:r w:rsidR="008563B8" w:rsidRPr="000B5A31">
        <w:rPr>
          <w:rFonts w:ascii="仿宋_GB2312" w:eastAsia="仿宋_GB2312" w:hint="eastAsia"/>
          <w:kern w:val="0"/>
          <w:sz w:val="32"/>
          <w:szCs w:val="32"/>
        </w:rPr>
        <w:t>201</w:t>
      </w:r>
      <w:r w:rsidR="008563B8">
        <w:rPr>
          <w:rFonts w:ascii="仿宋_GB2312" w:eastAsia="仿宋_GB2312" w:hint="eastAsia"/>
          <w:kern w:val="0"/>
          <w:sz w:val="32"/>
          <w:szCs w:val="32"/>
        </w:rPr>
        <w:t>9</w:t>
      </w:r>
      <w:r w:rsidR="008563B8" w:rsidRPr="000B5A31">
        <w:rPr>
          <w:rFonts w:ascii="仿宋_GB2312" w:eastAsia="仿宋_GB2312" w:hint="eastAsia"/>
          <w:kern w:val="0"/>
          <w:sz w:val="32"/>
          <w:szCs w:val="32"/>
        </w:rPr>
        <w:t>年无政府性基金预算支出。</w:t>
      </w:r>
    </w:p>
    <w:p w:rsidR="004750F5" w:rsidRPr="00B20436" w:rsidRDefault="004750F5" w:rsidP="007D588A">
      <w:pPr>
        <w:widowControl/>
        <w:spacing w:line="580" w:lineRule="atLeast"/>
        <w:ind w:firstLineChars="200" w:firstLine="640"/>
        <w:jc w:val="left"/>
        <w:rPr>
          <w:rFonts w:ascii="仿宋_GB2312" w:eastAsia="仿宋_GB2312" w:hAnsi="楷体_GB2312" w:hint="eastAsia"/>
          <w:b/>
          <w:bCs/>
          <w:sz w:val="32"/>
          <w:szCs w:val="32"/>
        </w:rPr>
      </w:pPr>
      <w:r w:rsidRPr="00B20436">
        <w:rPr>
          <w:rFonts w:ascii="仿宋_GB2312" w:eastAsia="仿宋_GB2312" w:hAnsi="楷体_GB2312" w:hint="eastAsia"/>
          <w:b/>
          <w:bCs/>
          <w:sz w:val="32"/>
          <w:szCs w:val="32"/>
        </w:rPr>
        <w:t>八、2019年国有资本经营预算收入支出</w:t>
      </w:r>
    </w:p>
    <w:p w:rsidR="004750F5" w:rsidRPr="00B20436" w:rsidRDefault="004750F5" w:rsidP="004750F5">
      <w:pPr>
        <w:widowControl/>
        <w:spacing w:line="580" w:lineRule="atLeast"/>
        <w:ind w:firstLineChars="200" w:firstLine="640"/>
        <w:jc w:val="left"/>
        <w:rPr>
          <w:rFonts w:ascii="仿宋_GB2312" w:eastAsia="仿宋_GB2312" w:hAnsi="仿宋_GB2312" w:hint="eastAsia"/>
          <w:sz w:val="32"/>
          <w:szCs w:val="32"/>
        </w:rPr>
      </w:pPr>
      <w:r w:rsidRPr="00B20436">
        <w:rPr>
          <w:rFonts w:ascii="仿宋_GB2312" w:eastAsia="仿宋_GB2312" w:hAnsi="仿宋_GB2312" w:hint="eastAsia"/>
          <w:sz w:val="32"/>
          <w:szCs w:val="32"/>
        </w:rPr>
        <w:t>我部门2019年无国有资本经营预算支出。</w:t>
      </w:r>
    </w:p>
    <w:p w:rsidR="00660ECF" w:rsidRDefault="00660ECF">
      <w:pPr>
        <w:spacing w:line="580" w:lineRule="atLeast"/>
        <w:rPr>
          <w:rFonts w:ascii="仿宋_GB2312" w:eastAsia="仿宋_GB2312" w:hAnsi="楷体_GB2312" w:hint="eastAsia"/>
          <w:b/>
          <w:bCs/>
          <w:sz w:val="32"/>
          <w:szCs w:val="32"/>
        </w:rPr>
      </w:pPr>
      <w:r>
        <w:rPr>
          <w:rFonts w:ascii="仿宋_GB2312" w:eastAsia="仿宋_GB2312" w:hAnsi="楷体_GB2312" w:hint="eastAsia"/>
          <w:b/>
          <w:bCs/>
          <w:sz w:val="32"/>
          <w:szCs w:val="32"/>
        </w:rPr>
        <w:t xml:space="preserve">    九、“三公”经费支出预算情况说明</w:t>
      </w:r>
    </w:p>
    <w:p w:rsidR="00660ECF" w:rsidRDefault="00660ECF">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我部门2019年“三公”经费预算为12.36万元。2019年“三公”经费支出预算数比 2018 年减少 19.45 万元。“三公”经费同比减少的原因是：根据中央“八项规定”和省委省政府、市委市政府相关要求，我部门采取诸多措施，抓好“三公”经费预算管理，推行厉行节约、反对浪费的工作作风，从严控制“三公”经费开支。</w:t>
      </w:r>
    </w:p>
    <w:p w:rsidR="00660ECF" w:rsidRDefault="00660ECF">
      <w:pPr>
        <w:widowControl/>
        <w:kinsoku w:val="0"/>
        <w:overflowPunct w:val="0"/>
        <w:adjustRightInd w:val="0"/>
        <w:snapToGrid w:val="0"/>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具体支出情况如下：</w:t>
      </w:r>
    </w:p>
    <w:p w:rsidR="00660ECF" w:rsidRPr="008563B8" w:rsidRDefault="00660ECF" w:rsidP="008563B8">
      <w:pPr>
        <w:widowControl/>
        <w:kinsoku w:val="0"/>
        <w:overflowPunct w:val="0"/>
        <w:adjustRightInd w:val="0"/>
        <w:snapToGrid w:val="0"/>
        <w:spacing w:line="580" w:lineRule="atLeast"/>
        <w:ind w:firstLineChars="200" w:firstLine="640"/>
        <w:jc w:val="left"/>
        <w:rPr>
          <w:rFonts w:ascii="仿宋_GB2312" w:eastAsia="仿宋_GB2312" w:hint="eastAsia"/>
          <w:kern w:val="0"/>
          <w:sz w:val="32"/>
          <w:szCs w:val="32"/>
        </w:rPr>
      </w:pPr>
      <w:r>
        <w:rPr>
          <w:rFonts w:ascii="仿宋_GB2312" w:eastAsia="仿宋_GB2312" w:hAnsi="仿宋_GB2312" w:hint="eastAsia"/>
          <w:sz w:val="32"/>
          <w:szCs w:val="32"/>
        </w:rPr>
        <w:t>（一）因公出国（境）费0万元。</w:t>
      </w:r>
      <w:r w:rsidR="008563B8">
        <w:rPr>
          <w:rFonts w:ascii="仿宋_GB2312" w:eastAsia="仿宋_GB2312" w:hAnsi="仿宋_GB2312" w:hint="eastAsia"/>
          <w:sz w:val="32"/>
          <w:szCs w:val="32"/>
        </w:rPr>
        <w:t>主要用于单位工作人员公务出国（境）的住宿费、旅费、伙食补助费、杂费等支出。预算数与2018年持平，主要原因：加强出国经费管理，对出国经费进行压缩，无</w:t>
      </w:r>
      <w:r w:rsidR="008563B8" w:rsidRPr="000B5A31">
        <w:rPr>
          <w:rFonts w:ascii="仿宋_GB2312" w:eastAsia="仿宋_GB2312" w:hint="eastAsia"/>
          <w:kern w:val="0"/>
          <w:sz w:val="32"/>
          <w:szCs w:val="32"/>
        </w:rPr>
        <w:t>因公出国（境）费</w:t>
      </w:r>
      <w:r w:rsidR="008563B8">
        <w:rPr>
          <w:rFonts w:ascii="仿宋_GB2312" w:eastAsia="仿宋_GB2312" w:hint="eastAsia"/>
          <w:kern w:val="0"/>
          <w:sz w:val="32"/>
          <w:szCs w:val="32"/>
        </w:rPr>
        <w:t>预算安排</w:t>
      </w:r>
      <w:r w:rsidR="008563B8">
        <w:rPr>
          <w:rFonts w:ascii="仿宋_GB2312" w:eastAsia="仿宋_GB2312" w:hAnsi="仿宋_GB2312" w:hint="eastAsia"/>
          <w:sz w:val="32"/>
          <w:szCs w:val="32"/>
        </w:rPr>
        <w:t xml:space="preserve">。  </w:t>
      </w:r>
      <w:r w:rsidR="008563B8" w:rsidRPr="000B5A31">
        <w:rPr>
          <w:rFonts w:ascii="仿宋_GB2312" w:eastAsia="仿宋_GB2312" w:hint="eastAsia"/>
          <w:kern w:val="0"/>
          <w:sz w:val="32"/>
          <w:szCs w:val="32"/>
        </w:rPr>
        <w:t xml:space="preserve">    </w:t>
      </w:r>
      <w:r>
        <w:rPr>
          <w:rFonts w:ascii="仿宋_GB2312" w:eastAsia="仿宋_GB2312" w:hAnsi="仿宋_GB2312" w:hint="eastAsia"/>
          <w:sz w:val="32"/>
          <w:szCs w:val="32"/>
        </w:rPr>
        <w:t xml:space="preserve">                   </w:t>
      </w:r>
    </w:p>
    <w:p w:rsidR="00660ECF" w:rsidRDefault="00660ECF">
      <w:pPr>
        <w:widowControl/>
        <w:kinsoku w:val="0"/>
        <w:overflowPunct w:val="0"/>
        <w:adjustRightInd w:val="0"/>
        <w:snapToGrid w:val="0"/>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（二）公务用车购置及运行费8.7万元，其中，公务用车购置费0万元；公务用车运行维护费8.7万元，主要用于开展工作所需公务用车的燃料费、维修费、过路过桥费、保险费等支出。</w:t>
      </w:r>
      <w:r w:rsidR="007D588A" w:rsidRPr="00E40349">
        <w:rPr>
          <w:rFonts w:ascii="仿宋_GB2312" w:eastAsia="仿宋_GB2312" w:hAnsi="宋体" w:hint="eastAsia"/>
          <w:sz w:val="32"/>
          <w:szCs w:val="32"/>
        </w:rPr>
        <w:t>公务用车购置费预算数比 2018 年持平，主要原因：无购买公务车辆。</w:t>
      </w:r>
      <w:r>
        <w:rPr>
          <w:rFonts w:ascii="仿宋_GB2312" w:eastAsia="仿宋_GB2312" w:hAnsi="仿宋_GB2312" w:hint="eastAsia"/>
          <w:sz w:val="32"/>
          <w:szCs w:val="32"/>
        </w:rPr>
        <w:t>公务用车运行维护费预算数比2018年减少14.8万元，主要原因：严格贯彻落实中央“八项规定”精神和厉行节约要求，从严从紧控制公务用车。</w:t>
      </w:r>
    </w:p>
    <w:p w:rsidR="00660ECF" w:rsidRDefault="00660ECF">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lastRenderedPageBreak/>
        <w:t>（三）公务接待费3.66万元，主要用于按规定开支的各类公务接待（含外宾接待）支出。预算数比 2018 年减少      4.65万元。主要原因：根据《河南省党政机关国内公务接待管理办法》等有关要求，不断规范公务接待管理，严格接待审批控制，厉行勤俭节约，不断压缩公务接待费支出。</w:t>
      </w:r>
    </w:p>
    <w:p w:rsidR="00660ECF" w:rsidRDefault="00660ECF" w:rsidP="007D588A">
      <w:pPr>
        <w:widowControl/>
        <w:kinsoku w:val="0"/>
        <w:overflowPunct w:val="0"/>
        <w:adjustRightInd w:val="0"/>
        <w:snapToGrid w:val="0"/>
        <w:spacing w:line="580" w:lineRule="atLeast"/>
        <w:ind w:firstLineChars="300" w:firstLine="960"/>
        <w:jc w:val="left"/>
        <w:rPr>
          <w:rFonts w:ascii="仿宋_GB2312" w:eastAsia="仿宋_GB2312" w:hAnsi="楷体_GB2312" w:hint="eastAsia"/>
          <w:b/>
          <w:bCs/>
          <w:sz w:val="32"/>
          <w:szCs w:val="32"/>
        </w:rPr>
      </w:pPr>
      <w:r>
        <w:rPr>
          <w:rFonts w:ascii="仿宋_GB2312" w:eastAsia="仿宋_GB2312" w:hAnsi="楷体_GB2312" w:hint="eastAsia"/>
          <w:b/>
          <w:bCs/>
          <w:sz w:val="32"/>
          <w:szCs w:val="32"/>
        </w:rPr>
        <w:t>十、其他重要事项的情况说明</w:t>
      </w:r>
    </w:p>
    <w:p w:rsidR="00660ECF" w:rsidRDefault="00660ECF" w:rsidP="007D588A">
      <w:pPr>
        <w:widowControl/>
        <w:kinsoku w:val="0"/>
        <w:overflowPunct w:val="0"/>
        <w:adjustRightInd w:val="0"/>
        <w:snapToGrid w:val="0"/>
        <w:spacing w:line="580" w:lineRule="atLeast"/>
        <w:ind w:firstLineChars="300" w:firstLine="960"/>
        <w:jc w:val="left"/>
        <w:rPr>
          <w:rFonts w:ascii="仿宋_GB2312" w:eastAsia="仿宋_GB2312" w:hAnsi="楷体_GB2312" w:hint="eastAsia"/>
          <w:b/>
          <w:bCs/>
          <w:sz w:val="32"/>
          <w:szCs w:val="32"/>
        </w:rPr>
      </w:pPr>
      <w:r>
        <w:rPr>
          <w:rFonts w:ascii="仿宋_GB2312" w:eastAsia="仿宋_GB2312" w:hAnsi="仿宋_GB2312" w:hint="eastAsia"/>
          <w:b/>
          <w:sz w:val="32"/>
          <w:szCs w:val="32"/>
        </w:rPr>
        <w:t>（一）机关运行经费支出情况</w:t>
      </w:r>
    </w:p>
    <w:p w:rsidR="00660ECF" w:rsidRDefault="00660ECF">
      <w:pPr>
        <w:widowControl/>
        <w:spacing w:line="390" w:lineRule="atLeast"/>
        <w:ind w:left="320" w:hangingChars="100" w:hanging="320"/>
        <w:jc w:val="left"/>
        <w:rPr>
          <w:rFonts w:ascii="仿宋_GB2312" w:eastAsia="仿宋_GB2312" w:hAnsi="仿宋_GB2312" w:hint="eastAsia"/>
          <w:sz w:val="32"/>
          <w:szCs w:val="32"/>
        </w:rPr>
      </w:pPr>
      <w:r>
        <w:rPr>
          <w:rFonts w:ascii="仿宋_GB2312" w:eastAsia="仿宋_GB2312" w:hAnsi="仿宋_GB2312" w:hint="eastAsia"/>
          <w:sz w:val="32"/>
          <w:szCs w:val="32"/>
        </w:rPr>
        <w:t xml:space="preserve">　　  漯河市发展和改革委员会2019年机关运行经费支出预算2049.81万元，主要用于保障机构正常运转及正常履职需要。</w:t>
      </w:r>
    </w:p>
    <w:p w:rsidR="00660ECF" w:rsidRDefault="00660ECF" w:rsidP="007D588A">
      <w:pPr>
        <w:widowControl/>
        <w:kinsoku w:val="0"/>
        <w:overflowPunct w:val="0"/>
        <w:adjustRightInd w:val="0"/>
        <w:snapToGrid w:val="0"/>
        <w:spacing w:line="580" w:lineRule="atLeast"/>
        <w:ind w:firstLineChars="200" w:firstLine="640"/>
        <w:jc w:val="left"/>
        <w:rPr>
          <w:rFonts w:ascii="仿宋_GB2312" w:eastAsia="仿宋_GB2312" w:hAnsi="仿宋_GB2312" w:hint="eastAsia"/>
          <w:b/>
          <w:sz w:val="32"/>
          <w:szCs w:val="32"/>
        </w:rPr>
      </w:pPr>
      <w:r>
        <w:rPr>
          <w:rFonts w:ascii="仿宋_GB2312" w:eastAsia="仿宋_GB2312" w:hAnsi="仿宋_GB2312" w:hint="eastAsia"/>
          <w:b/>
          <w:sz w:val="32"/>
          <w:szCs w:val="32"/>
        </w:rPr>
        <w:t>（二）政府采购支出情况</w:t>
      </w:r>
    </w:p>
    <w:p w:rsidR="00660ECF" w:rsidRDefault="00660ECF">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2019年政府采购预算安排5.4万元，其中：政府采购货物预算5.4万元、政府采购工程预算0万元、政府采购服务预算0万元。</w:t>
      </w:r>
    </w:p>
    <w:p w:rsidR="00660ECF" w:rsidRDefault="00660ECF" w:rsidP="007D588A">
      <w:pPr>
        <w:widowControl/>
        <w:spacing w:line="580" w:lineRule="atLeast"/>
        <w:ind w:firstLineChars="200" w:firstLine="640"/>
        <w:jc w:val="left"/>
        <w:rPr>
          <w:rFonts w:ascii="仿宋_GB2312" w:eastAsia="仿宋_GB2312" w:hAnsi="仿宋_GB2312" w:hint="eastAsia"/>
          <w:b/>
          <w:sz w:val="32"/>
          <w:szCs w:val="32"/>
        </w:rPr>
      </w:pPr>
      <w:r>
        <w:rPr>
          <w:rFonts w:ascii="仿宋_GB2312" w:eastAsia="仿宋_GB2312" w:hAnsi="仿宋_GB2312" w:hint="eastAsia"/>
          <w:b/>
          <w:sz w:val="32"/>
          <w:szCs w:val="32"/>
        </w:rPr>
        <w:t>（三）政府购买服务支出情况</w:t>
      </w:r>
    </w:p>
    <w:p w:rsidR="00660ECF" w:rsidRDefault="004750F5">
      <w:pPr>
        <w:widowControl/>
        <w:spacing w:line="580" w:lineRule="atLeas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我部门</w:t>
      </w:r>
      <w:r w:rsidR="00660ECF">
        <w:rPr>
          <w:rFonts w:ascii="仿宋_GB2312" w:eastAsia="仿宋_GB2312" w:hAnsi="仿宋_GB2312" w:hint="eastAsia"/>
          <w:sz w:val="32"/>
          <w:szCs w:val="32"/>
        </w:rPr>
        <w:t>2019年</w:t>
      </w:r>
      <w:r>
        <w:rPr>
          <w:rFonts w:ascii="仿宋_GB2312" w:eastAsia="仿宋_GB2312" w:hAnsi="仿宋_GB2312" w:hint="eastAsia"/>
          <w:sz w:val="32"/>
          <w:szCs w:val="32"/>
        </w:rPr>
        <w:t>无</w:t>
      </w:r>
      <w:r w:rsidR="00660ECF">
        <w:rPr>
          <w:rFonts w:ascii="仿宋_GB2312" w:eastAsia="仿宋_GB2312" w:hAnsi="仿宋_GB2312" w:hint="eastAsia"/>
          <w:sz w:val="32"/>
          <w:szCs w:val="32"/>
        </w:rPr>
        <w:t>政府购买服务预算安排。</w:t>
      </w:r>
    </w:p>
    <w:p w:rsidR="00660ECF" w:rsidRDefault="00660ECF" w:rsidP="007D588A">
      <w:pPr>
        <w:widowControl/>
        <w:kinsoku w:val="0"/>
        <w:overflowPunct w:val="0"/>
        <w:adjustRightInd w:val="0"/>
        <w:snapToGrid w:val="0"/>
        <w:spacing w:line="580" w:lineRule="atLeast"/>
        <w:ind w:firstLineChars="200" w:firstLine="640"/>
        <w:jc w:val="left"/>
        <w:rPr>
          <w:rFonts w:ascii="仿宋_GB2312" w:eastAsia="仿宋_GB2312" w:hAnsi="仿宋_GB2312" w:hint="eastAsia"/>
          <w:b/>
          <w:sz w:val="32"/>
          <w:szCs w:val="32"/>
        </w:rPr>
      </w:pPr>
      <w:r>
        <w:rPr>
          <w:rFonts w:ascii="仿宋_GB2312" w:eastAsia="仿宋_GB2312" w:hAnsi="仿宋_GB2312" w:hint="eastAsia"/>
          <w:b/>
          <w:sz w:val="32"/>
          <w:szCs w:val="32"/>
        </w:rPr>
        <w:t>（四）关于预算绩效管理工作开展情况说明</w:t>
      </w:r>
    </w:p>
    <w:p w:rsidR="00660ECF" w:rsidRDefault="00660ECF">
      <w:pPr>
        <w:widowControl/>
        <w:spacing w:line="390" w:lineRule="atLeast"/>
        <w:jc w:val="left"/>
        <w:rPr>
          <w:rFonts w:ascii="仿宋_GB2312" w:eastAsia="仿宋_GB2312" w:hAnsi="仿宋_GB2312" w:hint="eastAsia"/>
          <w:sz w:val="32"/>
          <w:szCs w:val="32"/>
        </w:rPr>
      </w:pPr>
      <w:r>
        <w:rPr>
          <w:rFonts w:ascii="仿宋_GB2312" w:eastAsia="仿宋_GB2312" w:hAnsi="仿宋_GB2312" w:hint="eastAsia"/>
          <w:sz w:val="32"/>
          <w:szCs w:val="32"/>
        </w:rPr>
        <w:t xml:space="preserve">     2018年，漯河市发展和改革委员会共组织对1个项目进行了预算绩效评价，涉及资金904万元,主要是：</w:t>
      </w:r>
      <w:r>
        <w:rPr>
          <w:rFonts w:ascii="仿宋_GB2312" w:eastAsia="仿宋_GB2312" w:hint="eastAsia"/>
          <w:sz w:val="32"/>
          <w:szCs w:val="32"/>
        </w:rPr>
        <w:t>实施全国新增千亿斤粮食市级配套资金</w:t>
      </w:r>
      <w:r>
        <w:rPr>
          <w:rFonts w:ascii="仿宋_GB2312" w:eastAsia="仿宋_GB2312" w:hAnsi="仿宋_GB2312" w:hint="eastAsia"/>
          <w:sz w:val="32"/>
          <w:szCs w:val="32"/>
        </w:rPr>
        <w:t>项目904万元。2019年，我部门按有关要求，拟组织对所有项目支出41个项目进行预算绩效评价，涉及资金1068.99万元,主要是：“双替代”供暖</w:t>
      </w:r>
      <w:r>
        <w:rPr>
          <w:rFonts w:ascii="仿宋_GB2312" w:eastAsia="仿宋_GB2312" w:hAnsi="仿宋_GB2312" w:hint="eastAsia"/>
          <w:sz w:val="32"/>
          <w:szCs w:val="32"/>
        </w:rPr>
        <w:lastRenderedPageBreak/>
        <w:t>补贴资金309.12万元、乡村振兴战略规划编制经费113.55万元等。</w:t>
      </w:r>
    </w:p>
    <w:p w:rsidR="00660ECF" w:rsidRDefault="00660ECF" w:rsidP="007D588A">
      <w:pPr>
        <w:widowControl/>
        <w:spacing w:line="58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（五）国有资产占有情况</w:t>
      </w:r>
    </w:p>
    <w:p w:rsidR="00660ECF" w:rsidRDefault="00660ECF">
      <w:pPr>
        <w:jc w:val="left"/>
        <w:rPr>
          <w:rFonts w:ascii="仿宋_GB2312" w:eastAsia="仿宋_GB2312" w:hAnsi="仿宋" w:hint="eastAsia"/>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 w:hint="eastAsia"/>
          <w:sz w:val="32"/>
          <w:szCs w:val="32"/>
        </w:rPr>
        <w:t xml:space="preserve"> 2018年期末，我部门共有车辆8辆，其中：一般公务用车5辆、机要通信用车1辆、应急保障用车2辆。</w:t>
      </w:r>
    </w:p>
    <w:p w:rsidR="00660ECF" w:rsidRDefault="00660ECF">
      <w:pPr>
        <w:jc w:val="left"/>
        <w:rPr>
          <w:rFonts w:ascii="仿宋_GB2312" w:eastAsia="仿宋_GB2312" w:hAnsi="仿宋" w:hint="eastAsia"/>
          <w:sz w:val="32"/>
          <w:szCs w:val="32"/>
        </w:rPr>
      </w:pPr>
      <w:r>
        <w:rPr>
          <w:rFonts w:ascii="仿宋_GB2312" w:eastAsia="仿宋_GB2312" w:hAnsi="仿宋" w:hint="eastAsia"/>
          <w:sz w:val="32"/>
          <w:szCs w:val="32"/>
        </w:rPr>
        <w:t xml:space="preserve">    单价50万元以上通用设备0台（套），单位价值100万元以上专用设备 0台（套）。</w:t>
      </w:r>
    </w:p>
    <w:p w:rsidR="00660ECF" w:rsidRDefault="00660ECF" w:rsidP="007D588A">
      <w:pPr>
        <w:widowControl/>
        <w:spacing w:line="580" w:lineRule="exact"/>
        <w:ind w:firstLineChars="200" w:firstLine="640"/>
        <w:jc w:val="left"/>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（六）专项转移支付项目情况</w:t>
      </w:r>
    </w:p>
    <w:p w:rsidR="00660ECF" w:rsidRDefault="00660ECF">
      <w:pPr>
        <w:spacing w:line="580" w:lineRule="exact"/>
        <w:ind w:left="320" w:hangingChars="100" w:hanging="320"/>
        <w:jc w:val="left"/>
        <w:rPr>
          <w:rFonts w:ascii="仿宋" w:eastAsia="仿宋" w:hAnsi="仿宋" w:hint="eastAsia"/>
          <w:sz w:val="32"/>
          <w:szCs w:val="32"/>
        </w:rPr>
      </w:pPr>
      <w:r>
        <w:rPr>
          <w:rFonts w:ascii="仿宋_GB2312" w:eastAsia="仿宋_GB2312" w:hAnsi="ˎ̥" w:cs="Arial" w:hint="eastAsia"/>
          <w:color w:val="000000"/>
          <w:sz w:val="32"/>
          <w:szCs w:val="32"/>
        </w:rPr>
        <w:t xml:space="preserve">　　</w:t>
      </w:r>
      <w:r w:rsidRPr="004750F5">
        <w:rPr>
          <w:rFonts w:ascii="仿宋_GB2312" w:eastAsia="仿宋_GB2312" w:hAnsi="仿宋" w:hint="eastAsia"/>
          <w:sz w:val="32"/>
          <w:szCs w:val="32"/>
        </w:rPr>
        <w:t xml:space="preserve"> 2019年，我部门无</w:t>
      </w:r>
      <w:r w:rsidR="004750F5">
        <w:rPr>
          <w:rFonts w:ascii="仿宋_GB2312" w:eastAsia="仿宋_GB2312" w:hAnsi="仿宋" w:hint="eastAsia"/>
          <w:sz w:val="32"/>
          <w:szCs w:val="32"/>
        </w:rPr>
        <w:t>负责管理的</w:t>
      </w:r>
      <w:r w:rsidRPr="004750F5">
        <w:rPr>
          <w:rFonts w:ascii="仿宋_GB2312" w:eastAsia="仿宋_GB2312" w:hAnsi="仿宋" w:hint="eastAsia"/>
          <w:sz w:val="32"/>
          <w:szCs w:val="32"/>
        </w:rPr>
        <w:t>专项转移支付项目。</w:t>
      </w:r>
    </w:p>
    <w:p w:rsidR="00660ECF" w:rsidRDefault="00660ECF">
      <w:pPr>
        <w:widowControl/>
        <w:spacing w:line="580" w:lineRule="exact"/>
        <w:jc w:val="center"/>
        <w:rPr>
          <w:rFonts w:ascii="仿宋_GB2312" w:eastAsia="仿宋_GB2312" w:hAnsi="仿宋_GB2312" w:cs="仿宋_GB2312" w:hint="eastAsia"/>
          <w:b/>
          <w:color w:val="000000"/>
          <w:sz w:val="32"/>
          <w:szCs w:val="32"/>
        </w:rPr>
      </w:pPr>
    </w:p>
    <w:p w:rsidR="00660ECF" w:rsidRDefault="00660ECF">
      <w:pPr>
        <w:widowControl/>
        <w:spacing w:line="580" w:lineRule="exact"/>
        <w:jc w:val="center"/>
        <w:rPr>
          <w:rFonts w:ascii="黑体" w:eastAsia="黑体" w:hAnsi="黑体" w:hint="eastAsia"/>
          <w:sz w:val="32"/>
          <w:szCs w:val="32"/>
        </w:rPr>
      </w:pPr>
      <w:r>
        <w:rPr>
          <w:rFonts w:ascii="黑体" w:eastAsia="黑体" w:hAnsi="黑体" w:hint="eastAsia"/>
          <w:sz w:val="32"/>
          <w:szCs w:val="32"/>
        </w:rPr>
        <w:t>第三部分   名词解释</w:t>
      </w:r>
    </w:p>
    <w:p w:rsidR="00660ECF" w:rsidRDefault="00660ECF">
      <w:pPr>
        <w:widowControl/>
        <w:adjustRightInd w:val="0"/>
        <w:snapToGrid w:val="0"/>
        <w:spacing w:line="580" w:lineRule="atLeast"/>
        <w:rPr>
          <w:rFonts w:ascii="仿宋_GB2312" w:eastAsia="仿宋_GB2312" w:hAnsi="仿宋_GB2312" w:hint="eastAsia"/>
          <w:sz w:val="32"/>
          <w:szCs w:val="32"/>
        </w:rPr>
      </w:pPr>
      <w:r>
        <w:rPr>
          <w:rFonts w:ascii="仿宋_GB2312" w:eastAsia="仿宋_GB2312" w:hAnsi="仿宋_GB2312" w:hint="eastAsia"/>
          <w:sz w:val="32"/>
          <w:szCs w:val="32"/>
        </w:rPr>
        <w:t> </w:t>
      </w:r>
    </w:p>
    <w:p w:rsidR="00660ECF" w:rsidRDefault="00660ECF">
      <w:pPr>
        <w:widowControl/>
        <w:adjustRightInd w:val="0"/>
        <w:snapToGrid w:val="0"/>
        <w:spacing w:line="580" w:lineRule="atLeast"/>
        <w:ind w:firstLineChars="100" w:firstLine="320"/>
        <w:rPr>
          <w:rFonts w:ascii="仿宋_GB2312" w:eastAsia="仿宋_GB2312" w:hAnsi="仿宋_GB2312" w:hint="eastAsia"/>
          <w:sz w:val="32"/>
          <w:szCs w:val="32"/>
        </w:rPr>
      </w:pPr>
      <w:r>
        <w:rPr>
          <w:rFonts w:ascii="仿宋_GB2312" w:eastAsia="仿宋_GB2312" w:hAnsi="仿宋_GB2312" w:hint="eastAsia"/>
          <w:sz w:val="32"/>
          <w:szCs w:val="32"/>
        </w:rPr>
        <w:t xml:space="preserve">  一、财政拨款收入：是指市级财政当年拨付的资金。</w:t>
      </w:r>
    </w:p>
    <w:p w:rsidR="00660ECF" w:rsidRDefault="00660ECF">
      <w:pPr>
        <w:widowControl/>
        <w:kinsoku w:val="0"/>
        <w:overflowPunct w:val="0"/>
        <w:adjustRightInd w:val="0"/>
        <w:snapToGrid w:val="0"/>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二、事业收入：是指事业单位开展专业活动及辅助活动所取得的收入。</w:t>
      </w:r>
    </w:p>
    <w:p w:rsidR="00660ECF" w:rsidRDefault="00660ECF">
      <w:pPr>
        <w:widowControl/>
        <w:kinsoku w:val="0"/>
        <w:overflowPunct w:val="0"/>
        <w:adjustRightInd w:val="0"/>
        <w:snapToGrid w:val="0"/>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 xml:space="preserve">三、其他收入：是指部门取得的除“财政拨款”、“事业收入”、“事业单位经营收入”等以外的收入。 </w:t>
      </w:r>
    </w:p>
    <w:p w:rsidR="00660ECF" w:rsidRDefault="00660ECF">
      <w:pPr>
        <w:widowControl/>
        <w:kinsoku w:val="0"/>
        <w:overflowPunct w:val="0"/>
        <w:adjustRightInd w:val="0"/>
        <w:snapToGrid w:val="0"/>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四、基本支出：是指为保障机构正常运转、完成日常工作任务所必需的开支，其内容包括人员经费和日常公用经费两部分。</w:t>
      </w:r>
    </w:p>
    <w:p w:rsidR="00660ECF" w:rsidRDefault="00660ECF">
      <w:pPr>
        <w:widowControl/>
        <w:kinsoku w:val="0"/>
        <w:overflowPunct w:val="0"/>
        <w:adjustRightInd w:val="0"/>
        <w:snapToGrid w:val="0"/>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五、项目支出：是指在基本支出之外，为完成特定的行政工作任务或事业发展目标所发生的支出。</w:t>
      </w:r>
    </w:p>
    <w:p w:rsidR="00660ECF" w:rsidRDefault="00660ECF">
      <w:pPr>
        <w:widowControl/>
        <w:kinsoku w:val="0"/>
        <w:overflowPunct w:val="0"/>
        <w:adjustRightInd w:val="0"/>
        <w:snapToGrid w:val="0"/>
        <w:spacing w:line="580" w:lineRule="atLeas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lastRenderedPageBreak/>
        <w:t>六、“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660ECF" w:rsidRDefault="00660ECF">
      <w:pPr>
        <w:widowControl/>
        <w:spacing w:line="390" w:lineRule="atLeast"/>
        <w:jc w:val="left"/>
        <w:rPr>
          <w:rFonts w:ascii="仿宋_GB2312" w:eastAsia="仿宋_GB2312" w:hAnsi="仿宋_GB2312" w:hint="eastAsia"/>
          <w:sz w:val="32"/>
          <w:szCs w:val="32"/>
        </w:rPr>
      </w:pPr>
      <w:r>
        <w:rPr>
          <w:rFonts w:ascii="仿宋_GB2312" w:eastAsia="仿宋_GB2312" w:hAnsi="仿宋_GB2312" w:hint="eastAsia"/>
          <w:sz w:val="32"/>
          <w:szCs w:val="32"/>
        </w:rPr>
        <w:t>   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660ECF" w:rsidRDefault="00660ECF">
      <w:pPr>
        <w:widowControl/>
        <w:spacing w:line="390" w:lineRule="atLeast"/>
        <w:jc w:val="left"/>
        <w:rPr>
          <w:rFonts w:ascii="仿宋_GB2312" w:eastAsia="仿宋_GB2312" w:hAnsi="仿宋_GB2312" w:hint="eastAsia"/>
          <w:sz w:val="32"/>
          <w:szCs w:val="32"/>
        </w:rPr>
      </w:pPr>
    </w:p>
    <w:p w:rsidR="00660ECF" w:rsidRDefault="00660ECF">
      <w:pPr>
        <w:widowControl/>
        <w:kinsoku w:val="0"/>
        <w:overflowPunct w:val="0"/>
        <w:adjustRightInd w:val="0"/>
        <w:snapToGrid w:val="0"/>
        <w:spacing w:line="592" w:lineRule="exact"/>
        <w:jc w:val="left"/>
        <w:rPr>
          <w:rFonts w:ascii="仿宋_GB2312" w:eastAsia="仿宋_GB2312" w:hAnsi="仿宋_GB2312" w:hint="eastAsia"/>
          <w:sz w:val="32"/>
          <w:szCs w:val="32"/>
        </w:rPr>
      </w:pPr>
      <w:r>
        <w:rPr>
          <w:rFonts w:ascii="仿宋_GB2312" w:eastAsia="仿宋_GB2312" w:hAnsi="仿宋_GB2312" w:hint="eastAsia"/>
          <w:sz w:val="32"/>
          <w:szCs w:val="32"/>
        </w:rPr>
        <w:t xml:space="preserve">附件： </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2019 年度部门预算表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1、部门收支总体情况表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2、部门收入总体情况表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3、部门支出总体情况表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4、财政拨款收支总体情况表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5、一般公共预算支出情况表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6、支出经济分类汇总表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lastRenderedPageBreak/>
        <w:t>7、一般公共预算“三公”经费支出情况表</w:t>
      </w:r>
    </w:p>
    <w:p w:rsidR="00660ECF" w:rsidRDefault="00660ECF">
      <w:pPr>
        <w:widowControl/>
        <w:kinsoku w:val="0"/>
        <w:overflowPunct w:val="0"/>
        <w:adjustRightInd w:val="0"/>
        <w:snapToGrid w:val="0"/>
        <w:spacing w:line="592" w:lineRule="exact"/>
        <w:ind w:firstLineChars="300" w:firstLine="960"/>
        <w:jc w:val="left"/>
        <w:rPr>
          <w:rFonts w:ascii="仿宋_GB2312" w:eastAsia="仿宋_GB2312" w:hAnsi="仿宋_GB2312" w:hint="eastAsia"/>
          <w:sz w:val="32"/>
          <w:szCs w:val="32"/>
        </w:rPr>
      </w:pPr>
      <w:r>
        <w:rPr>
          <w:rFonts w:ascii="仿宋_GB2312" w:eastAsia="仿宋_GB2312" w:hAnsi="仿宋_GB2312" w:hint="eastAsia"/>
          <w:sz w:val="32"/>
          <w:szCs w:val="32"/>
        </w:rPr>
        <w:t>8、政府性基金预算支出情况表</w:t>
      </w:r>
    </w:p>
    <w:p w:rsidR="00660ECF" w:rsidRDefault="00660ECF">
      <w:pPr>
        <w:widowControl/>
        <w:adjustRightInd w:val="0"/>
        <w:snapToGrid w:val="0"/>
        <w:spacing w:line="580" w:lineRule="atLeast"/>
        <w:ind w:firstLineChars="200" w:firstLine="640"/>
        <w:rPr>
          <w:rFonts w:ascii="仿宋_GB2312" w:eastAsia="仿宋_GB2312" w:hAnsi="宋体" w:cs="宋体" w:hint="eastAsia"/>
          <w:color w:val="666666"/>
          <w:kern w:val="0"/>
          <w:sz w:val="32"/>
          <w:szCs w:val="32"/>
        </w:rPr>
      </w:pPr>
    </w:p>
    <w:sectPr w:rsidR="00660EC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88" w:rsidRDefault="00AC1088">
      <w:r>
        <w:separator/>
      </w:r>
    </w:p>
  </w:endnote>
  <w:endnote w:type="continuationSeparator" w:id="0">
    <w:p w:rsidR="00AC1088" w:rsidRDefault="00AC1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CF" w:rsidRDefault="00660ECF">
    <w:pPr>
      <w:pStyle w:val="a6"/>
    </w:pPr>
    <w:r>
      <w:pict>
        <v:shapetype id="_x0000_t202" coordsize="21600,21600" o:spt="202" path="m,l,21600r21600,l21600,xe">
          <v:stroke joinstyle="miter"/>
          <v:path gradientshapeok="t" o:connecttype="rect"/>
        </v:shapetype>
        <v:shape id="文本框1" o:spid="_x0000_s2049" type="#_x0000_t202" style="position:absolute;margin-left:0;margin-top:0;width:5.3pt;height:12.05pt;z-index:251657728;mso-wrap-style:none;mso-position-horizontal:center;mso-position-horizontal-relative:margin" filled="f" stroked="f">
          <v:textbox style="mso-fit-shape-to-text:t" inset="0,0,0,0">
            <w:txbxContent>
              <w:p w:rsidR="00660ECF" w:rsidRDefault="00660E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B4791" w:rsidRPr="000B4791">
                  <w:rPr>
                    <w:noProof/>
                    <w:lang w:val="en-US" w:eastAsia="zh-CN"/>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88" w:rsidRDefault="00AC1088">
      <w:r>
        <w:separator/>
      </w:r>
    </w:p>
  </w:footnote>
  <w:footnote w:type="continuationSeparator" w:id="0">
    <w:p w:rsidR="00AC1088" w:rsidRDefault="00AC1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ADF"/>
    <w:rsid w:val="00006D36"/>
    <w:rsid w:val="000163BE"/>
    <w:rsid w:val="000170A1"/>
    <w:rsid w:val="00020F9F"/>
    <w:rsid w:val="00022BF9"/>
    <w:rsid w:val="00027662"/>
    <w:rsid w:val="00034244"/>
    <w:rsid w:val="000452CE"/>
    <w:rsid w:val="0004530E"/>
    <w:rsid w:val="00060F4E"/>
    <w:rsid w:val="000A78C3"/>
    <w:rsid w:val="000B3346"/>
    <w:rsid w:val="000B4791"/>
    <w:rsid w:val="000E5153"/>
    <w:rsid w:val="000F3FE4"/>
    <w:rsid w:val="00100A33"/>
    <w:rsid w:val="00133EE2"/>
    <w:rsid w:val="001522A1"/>
    <w:rsid w:val="0017096D"/>
    <w:rsid w:val="0019400F"/>
    <w:rsid w:val="001A6203"/>
    <w:rsid w:val="001B0FA3"/>
    <w:rsid w:val="001D6440"/>
    <w:rsid w:val="001E0068"/>
    <w:rsid w:val="001E2BE5"/>
    <w:rsid w:val="001F52FB"/>
    <w:rsid w:val="00202CBC"/>
    <w:rsid w:val="00211FFA"/>
    <w:rsid w:val="002416D7"/>
    <w:rsid w:val="00242A65"/>
    <w:rsid w:val="0025547D"/>
    <w:rsid w:val="00263A51"/>
    <w:rsid w:val="0027518E"/>
    <w:rsid w:val="002760BF"/>
    <w:rsid w:val="00285269"/>
    <w:rsid w:val="00291B21"/>
    <w:rsid w:val="00294E68"/>
    <w:rsid w:val="002A5738"/>
    <w:rsid w:val="002C4C24"/>
    <w:rsid w:val="002C7006"/>
    <w:rsid w:val="002D5DBE"/>
    <w:rsid w:val="002E5416"/>
    <w:rsid w:val="00307C3A"/>
    <w:rsid w:val="003109D0"/>
    <w:rsid w:val="003117C6"/>
    <w:rsid w:val="003117F1"/>
    <w:rsid w:val="00335216"/>
    <w:rsid w:val="00337E7E"/>
    <w:rsid w:val="00345628"/>
    <w:rsid w:val="00352F98"/>
    <w:rsid w:val="0036645B"/>
    <w:rsid w:val="0037504B"/>
    <w:rsid w:val="00391269"/>
    <w:rsid w:val="003A1BD4"/>
    <w:rsid w:val="003A67FA"/>
    <w:rsid w:val="003C21D3"/>
    <w:rsid w:val="003D3432"/>
    <w:rsid w:val="003F1484"/>
    <w:rsid w:val="00402FEE"/>
    <w:rsid w:val="0041270A"/>
    <w:rsid w:val="004344A3"/>
    <w:rsid w:val="004528CB"/>
    <w:rsid w:val="00454830"/>
    <w:rsid w:val="00460143"/>
    <w:rsid w:val="004670E1"/>
    <w:rsid w:val="004750F5"/>
    <w:rsid w:val="00484187"/>
    <w:rsid w:val="004A3ABA"/>
    <w:rsid w:val="004A5EFA"/>
    <w:rsid w:val="004B22EA"/>
    <w:rsid w:val="004B6908"/>
    <w:rsid w:val="004C4E87"/>
    <w:rsid w:val="004E5C59"/>
    <w:rsid w:val="00525BF5"/>
    <w:rsid w:val="00545A24"/>
    <w:rsid w:val="00547450"/>
    <w:rsid w:val="005534F3"/>
    <w:rsid w:val="005551C6"/>
    <w:rsid w:val="0057755D"/>
    <w:rsid w:val="00582495"/>
    <w:rsid w:val="00585EBC"/>
    <w:rsid w:val="00595637"/>
    <w:rsid w:val="005A4E2A"/>
    <w:rsid w:val="005C2921"/>
    <w:rsid w:val="005C50C9"/>
    <w:rsid w:val="005E0651"/>
    <w:rsid w:val="00601D75"/>
    <w:rsid w:val="006537EC"/>
    <w:rsid w:val="0065720D"/>
    <w:rsid w:val="00660ECF"/>
    <w:rsid w:val="00696747"/>
    <w:rsid w:val="006B0CB7"/>
    <w:rsid w:val="006C1F1F"/>
    <w:rsid w:val="006E5BC3"/>
    <w:rsid w:val="006F3930"/>
    <w:rsid w:val="00701C2D"/>
    <w:rsid w:val="0071689A"/>
    <w:rsid w:val="00721CFE"/>
    <w:rsid w:val="00731F64"/>
    <w:rsid w:val="00745841"/>
    <w:rsid w:val="007518A8"/>
    <w:rsid w:val="00761E77"/>
    <w:rsid w:val="00764C9C"/>
    <w:rsid w:val="00771A53"/>
    <w:rsid w:val="007813F3"/>
    <w:rsid w:val="007819B8"/>
    <w:rsid w:val="00793F08"/>
    <w:rsid w:val="00794260"/>
    <w:rsid w:val="00794ABF"/>
    <w:rsid w:val="007A0B71"/>
    <w:rsid w:val="007A53F0"/>
    <w:rsid w:val="007B661B"/>
    <w:rsid w:val="007D0688"/>
    <w:rsid w:val="007D588A"/>
    <w:rsid w:val="007E4975"/>
    <w:rsid w:val="007F55B7"/>
    <w:rsid w:val="00815256"/>
    <w:rsid w:val="00823D60"/>
    <w:rsid w:val="008262F9"/>
    <w:rsid w:val="00827EA7"/>
    <w:rsid w:val="008340DB"/>
    <w:rsid w:val="008442A2"/>
    <w:rsid w:val="00844347"/>
    <w:rsid w:val="008563B8"/>
    <w:rsid w:val="008841C3"/>
    <w:rsid w:val="00887CF6"/>
    <w:rsid w:val="008A18C4"/>
    <w:rsid w:val="008A23B6"/>
    <w:rsid w:val="008B473C"/>
    <w:rsid w:val="008C4E06"/>
    <w:rsid w:val="008E3049"/>
    <w:rsid w:val="008E3EC1"/>
    <w:rsid w:val="008F52FD"/>
    <w:rsid w:val="00913589"/>
    <w:rsid w:val="009216A4"/>
    <w:rsid w:val="00922454"/>
    <w:rsid w:val="009269C9"/>
    <w:rsid w:val="009275EA"/>
    <w:rsid w:val="00940E1E"/>
    <w:rsid w:val="00944979"/>
    <w:rsid w:val="009625EE"/>
    <w:rsid w:val="00981979"/>
    <w:rsid w:val="009910F2"/>
    <w:rsid w:val="009A0047"/>
    <w:rsid w:val="009A1997"/>
    <w:rsid w:val="009A7C8E"/>
    <w:rsid w:val="009D3BEC"/>
    <w:rsid w:val="009D62EB"/>
    <w:rsid w:val="009E339F"/>
    <w:rsid w:val="009F0872"/>
    <w:rsid w:val="00A342DB"/>
    <w:rsid w:val="00A369A1"/>
    <w:rsid w:val="00A40BBF"/>
    <w:rsid w:val="00A52CBA"/>
    <w:rsid w:val="00A57555"/>
    <w:rsid w:val="00A84B65"/>
    <w:rsid w:val="00AA3AF9"/>
    <w:rsid w:val="00AB53F1"/>
    <w:rsid w:val="00AC040E"/>
    <w:rsid w:val="00AC1088"/>
    <w:rsid w:val="00AC61BD"/>
    <w:rsid w:val="00B421BD"/>
    <w:rsid w:val="00B5719A"/>
    <w:rsid w:val="00B6620F"/>
    <w:rsid w:val="00B706EC"/>
    <w:rsid w:val="00B92C77"/>
    <w:rsid w:val="00B978A2"/>
    <w:rsid w:val="00BB582D"/>
    <w:rsid w:val="00BB5ABE"/>
    <w:rsid w:val="00BC7C2D"/>
    <w:rsid w:val="00BD5D1B"/>
    <w:rsid w:val="00C073D6"/>
    <w:rsid w:val="00C41104"/>
    <w:rsid w:val="00C45BEF"/>
    <w:rsid w:val="00C4619D"/>
    <w:rsid w:val="00C60CEA"/>
    <w:rsid w:val="00C653DB"/>
    <w:rsid w:val="00C726D8"/>
    <w:rsid w:val="00C72962"/>
    <w:rsid w:val="00C91468"/>
    <w:rsid w:val="00C9202E"/>
    <w:rsid w:val="00CA5140"/>
    <w:rsid w:val="00CC6D5B"/>
    <w:rsid w:val="00CD236C"/>
    <w:rsid w:val="00CE129A"/>
    <w:rsid w:val="00CE39BF"/>
    <w:rsid w:val="00CF15AD"/>
    <w:rsid w:val="00D01366"/>
    <w:rsid w:val="00D025B7"/>
    <w:rsid w:val="00D062C8"/>
    <w:rsid w:val="00D11879"/>
    <w:rsid w:val="00D21ED0"/>
    <w:rsid w:val="00D31B1B"/>
    <w:rsid w:val="00D35C5E"/>
    <w:rsid w:val="00D3641B"/>
    <w:rsid w:val="00D442D7"/>
    <w:rsid w:val="00D6220A"/>
    <w:rsid w:val="00D77BEC"/>
    <w:rsid w:val="00DA1351"/>
    <w:rsid w:val="00DA1719"/>
    <w:rsid w:val="00DA2667"/>
    <w:rsid w:val="00DD1A8D"/>
    <w:rsid w:val="00DD5339"/>
    <w:rsid w:val="00DE6F15"/>
    <w:rsid w:val="00DF0A2B"/>
    <w:rsid w:val="00DF3294"/>
    <w:rsid w:val="00E036E9"/>
    <w:rsid w:val="00E14BC8"/>
    <w:rsid w:val="00E47001"/>
    <w:rsid w:val="00E54A10"/>
    <w:rsid w:val="00E54B67"/>
    <w:rsid w:val="00E54E7F"/>
    <w:rsid w:val="00E55154"/>
    <w:rsid w:val="00E62C7F"/>
    <w:rsid w:val="00E73870"/>
    <w:rsid w:val="00E7554A"/>
    <w:rsid w:val="00E75BF4"/>
    <w:rsid w:val="00E84C0D"/>
    <w:rsid w:val="00E90485"/>
    <w:rsid w:val="00F024B8"/>
    <w:rsid w:val="00F15500"/>
    <w:rsid w:val="00F2109B"/>
    <w:rsid w:val="00F221E7"/>
    <w:rsid w:val="00F244FB"/>
    <w:rsid w:val="00F44278"/>
    <w:rsid w:val="00F62761"/>
    <w:rsid w:val="00F73E43"/>
    <w:rsid w:val="00F97046"/>
    <w:rsid w:val="00FA202D"/>
    <w:rsid w:val="00FE2A18"/>
    <w:rsid w:val="00FF54FA"/>
    <w:rsid w:val="060F058D"/>
    <w:rsid w:val="06AA7317"/>
    <w:rsid w:val="07771DF9"/>
    <w:rsid w:val="07B85858"/>
    <w:rsid w:val="081F6B71"/>
    <w:rsid w:val="0B5B4585"/>
    <w:rsid w:val="0BE232F3"/>
    <w:rsid w:val="0E2A060B"/>
    <w:rsid w:val="0E5C36EE"/>
    <w:rsid w:val="147E0478"/>
    <w:rsid w:val="1A7C09EF"/>
    <w:rsid w:val="1E0C6E8E"/>
    <w:rsid w:val="237B6A99"/>
    <w:rsid w:val="29780654"/>
    <w:rsid w:val="2D021CD9"/>
    <w:rsid w:val="30235C92"/>
    <w:rsid w:val="30F56213"/>
    <w:rsid w:val="34FD3D58"/>
    <w:rsid w:val="370E1F16"/>
    <w:rsid w:val="37613B0D"/>
    <w:rsid w:val="38607A1B"/>
    <w:rsid w:val="396E642F"/>
    <w:rsid w:val="3B0A5C86"/>
    <w:rsid w:val="3B2B2DB7"/>
    <w:rsid w:val="3B42591D"/>
    <w:rsid w:val="3C934095"/>
    <w:rsid w:val="3DAD7D2D"/>
    <w:rsid w:val="3FDA1176"/>
    <w:rsid w:val="42232021"/>
    <w:rsid w:val="42470C87"/>
    <w:rsid w:val="429D4456"/>
    <w:rsid w:val="4A7641C5"/>
    <w:rsid w:val="4F197ADE"/>
    <w:rsid w:val="4FBF0233"/>
    <w:rsid w:val="501D199F"/>
    <w:rsid w:val="51EE4817"/>
    <w:rsid w:val="5E725377"/>
    <w:rsid w:val="60F053F6"/>
    <w:rsid w:val="614551E2"/>
    <w:rsid w:val="63EC49B9"/>
    <w:rsid w:val="64436FA9"/>
    <w:rsid w:val="6478468B"/>
    <w:rsid w:val="64921145"/>
    <w:rsid w:val="697113CC"/>
    <w:rsid w:val="6A8D418C"/>
    <w:rsid w:val="6D667D36"/>
    <w:rsid w:val="6F2A59BF"/>
    <w:rsid w:val="6F4578C1"/>
    <w:rsid w:val="71C763FA"/>
    <w:rsid w:val="73984795"/>
    <w:rsid w:val="745B066B"/>
    <w:rsid w:val="75A80425"/>
    <w:rsid w:val="772C53D5"/>
    <w:rsid w:val="7AB9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basedOn w:val="a0"/>
    <w:link w:val="a4"/>
    <w:rPr>
      <w:kern w:val="2"/>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paragraph" w:styleId="a4">
    <w:name w:val="Balloon Text"/>
    <w:basedOn w:val="a"/>
    <w:link w:val="Char"/>
    <w:rPr>
      <w:sz w:val="18"/>
      <w:szCs w:val="18"/>
    </w:rPr>
  </w:style>
  <w:style w:type="paragraph" w:customStyle="1" w:styleId="p0">
    <w:name w:val="p0"/>
    <w:basedOn w:val="a"/>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4258</Words>
  <Characters>591</Characters>
  <Application>Microsoft Office Word</Application>
  <DocSecurity>0</DocSecurity>
  <PresentationFormat/>
  <Lines>4</Lines>
  <Paragraphs>9</Paragraphs>
  <Slides>0</Slides>
  <Notes>0</Notes>
  <HiddenSlides>0</HiddenSlides>
  <MMClips>0</MMClips>
  <ScaleCrop>false</ScaleCrop>
  <Company>123</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市政府办公室预算基本情况说明</dc:title>
  <dc:creator>lenovo</dc:creator>
  <cp:lastModifiedBy>lenovo</cp:lastModifiedBy>
  <cp:revision>3</cp:revision>
  <cp:lastPrinted>2018-03-30T08:40:00Z</cp:lastPrinted>
  <dcterms:created xsi:type="dcterms:W3CDTF">2019-10-15T15:02:00Z</dcterms:created>
  <dcterms:modified xsi:type="dcterms:W3CDTF">2019-10-15T15:02:00Z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